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64" w:rsidRDefault="00C54564" w:rsidP="00E24326">
      <w:pPr>
        <w:pStyle w:val="Heading1"/>
      </w:pPr>
      <w:bookmarkStart w:id="0" w:name="_GoBack"/>
      <w:bookmarkEnd w:id="0"/>
      <w:r>
        <w:t>Tax card 2020/21</w:t>
      </w:r>
    </w:p>
    <w:p w:rsidR="00967DD9" w:rsidRPr="00C54564" w:rsidRDefault="00967DD9" w:rsidP="00967DD9">
      <w:pPr>
        <w:pStyle w:val="Heading1"/>
      </w:pPr>
      <w:r>
        <w:t>Income tax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2"/>
        <w:gridCol w:w="2279"/>
        <w:gridCol w:w="2415"/>
      </w:tblGrid>
      <w:tr w:rsidR="00967DD9" w:rsidRPr="00AF5056" w:rsidTr="00967DD9">
        <w:trPr>
          <w:trHeight w:val="20"/>
        </w:trPr>
        <w:tc>
          <w:tcPr>
            <w:tcW w:w="2755"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109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2020/21</w:t>
            </w:r>
          </w:p>
        </w:tc>
        <w:tc>
          <w:tcPr>
            <w:tcW w:w="1155"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2019/20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Personal allowance*</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£12,500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£12,500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pacing w:val="-4"/>
                <w:sz w:val="24"/>
                <w:szCs w:val="10"/>
              </w:rPr>
            </w:pPr>
            <w:r w:rsidRPr="00AF5056">
              <w:rPr>
                <w:rFonts w:asciiTheme="majorHAnsi" w:hAnsiTheme="majorHAnsi" w:cstheme="majorHAnsi"/>
                <w:spacing w:val="-4"/>
                <w:sz w:val="24"/>
                <w:szCs w:val="10"/>
              </w:rPr>
              <w:t>Personal savings allowance</w:t>
            </w:r>
          </w:p>
          <w:p w:rsidR="00B335F5" w:rsidRDefault="00967DD9" w:rsidP="00B335F5">
            <w:pPr>
              <w:pStyle w:val="TaxBody"/>
              <w:numPr>
                <w:ilvl w:val="0"/>
                <w:numId w:val="3"/>
              </w:numPr>
              <w:rPr>
                <w:rFonts w:asciiTheme="majorHAnsi" w:hAnsiTheme="majorHAnsi" w:cstheme="majorHAnsi"/>
                <w:spacing w:val="-4"/>
                <w:sz w:val="24"/>
                <w:szCs w:val="10"/>
              </w:rPr>
            </w:pPr>
            <w:r w:rsidRPr="00AF5056">
              <w:rPr>
                <w:rFonts w:asciiTheme="majorHAnsi" w:hAnsiTheme="majorHAnsi" w:cstheme="majorHAnsi"/>
                <w:spacing w:val="-4"/>
                <w:sz w:val="24"/>
                <w:szCs w:val="10"/>
              </w:rPr>
              <w:t>Basic-rate taxpayer</w:t>
            </w:r>
          </w:p>
          <w:p w:rsidR="00B335F5" w:rsidRDefault="00967DD9" w:rsidP="00B335F5">
            <w:pPr>
              <w:pStyle w:val="TaxBody"/>
              <w:numPr>
                <w:ilvl w:val="0"/>
                <w:numId w:val="3"/>
              </w:numPr>
              <w:rPr>
                <w:rFonts w:asciiTheme="majorHAnsi" w:hAnsiTheme="majorHAnsi" w:cstheme="majorHAnsi"/>
                <w:spacing w:val="-4"/>
                <w:sz w:val="24"/>
                <w:szCs w:val="10"/>
              </w:rPr>
            </w:pPr>
            <w:r w:rsidRPr="00B335F5">
              <w:rPr>
                <w:rFonts w:asciiTheme="majorHAnsi" w:hAnsiTheme="majorHAnsi" w:cstheme="majorHAnsi"/>
                <w:spacing w:val="-4"/>
                <w:sz w:val="24"/>
                <w:szCs w:val="10"/>
              </w:rPr>
              <w:t>Higher-rate taxpayer</w:t>
            </w:r>
          </w:p>
          <w:p w:rsidR="00967DD9" w:rsidRPr="00B335F5" w:rsidRDefault="00967DD9" w:rsidP="00B335F5">
            <w:pPr>
              <w:pStyle w:val="TaxBody"/>
              <w:numPr>
                <w:ilvl w:val="0"/>
                <w:numId w:val="3"/>
              </w:numPr>
              <w:rPr>
                <w:rFonts w:asciiTheme="majorHAnsi" w:hAnsiTheme="majorHAnsi" w:cstheme="majorHAnsi"/>
                <w:spacing w:val="-4"/>
                <w:sz w:val="24"/>
                <w:szCs w:val="10"/>
              </w:rPr>
            </w:pPr>
            <w:r w:rsidRPr="00B335F5">
              <w:rPr>
                <w:rFonts w:asciiTheme="majorHAnsi" w:hAnsiTheme="majorHAnsi" w:cstheme="majorHAnsi"/>
                <w:spacing w:val="-4"/>
                <w:sz w:val="24"/>
                <w:szCs w:val="10"/>
              </w:rPr>
              <w:t>Additional-rate taxpayer</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10"/>
              </w:rPr>
            </w:pPr>
          </w:p>
          <w:p w:rsidR="00967DD9" w:rsidRPr="00AF5056" w:rsidRDefault="00967DD9" w:rsidP="00B17665">
            <w:pPr>
              <w:pStyle w:val="TaxBody"/>
              <w:jc w:val="center"/>
              <w:rPr>
                <w:rFonts w:asciiTheme="majorHAnsi" w:hAnsiTheme="majorHAnsi" w:cstheme="majorHAnsi"/>
                <w:sz w:val="24"/>
                <w:szCs w:val="10"/>
              </w:rPr>
            </w:pPr>
            <w:r w:rsidRPr="00AF5056">
              <w:rPr>
                <w:rFonts w:asciiTheme="majorHAnsi" w:hAnsiTheme="majorHAnsi" w:cstheme="majorHAnsi"/>
                <w:sz w:val="24"/>
                <w:szCs w:val="10"/>
              </w:rPr>
              <w:t>£1,000</w:t>
            </w:r>
          </w:p>
          <w:p w:rsidR="00967DD9" w:rsidRPr="00AF5056" w:rsidRDefault="00967DD9" w:rsidP="00B17665">
            <w:pPr>
              <w:pStyle w:val="TaxBody"/>
              <w:jc w:val="center"/>
              <w:rPr>
                <w:rFonts w:asciiTheme="majorHAnsi" w:hAnsiTheme="majorHAnsi" w:cstheme="majorHAnsi"/>
                <w:sz w:val="24"/>
                <w:szCs w:val="10"/>
              </w:rPr>
            </w:pPr>
            <w:r w:rsidRPr="00AF5056">
              <w:rPr>
                <w:rFonts w:asciiTheme="majorHAnsi" w:hAnsiTheme="majorHAnsi" w:cstheme="majorHAnsi"/>
                <w:sz w:val="24"/>
                <w:szCs w:val="10"/>
              </w:rPr>
              <w:t>£500</w:t>
            </w:r>
          </w:p>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10"/>
              </w:rPr>
            </w:pPr>
          </w:p>
          <w:p w:rsidR="00967DD9" w:rsidRPr="00AF5056" w:rsidRDefault="00967DD9" w:rsidP="00B17665">
            <w:pPr>
              <w:pStyle w:val="TaxBody"/>
              <w:jc w:val="center"/>
              <w:rPr>
                <w:rFonts w:asciiTheme="majorHAnsi" w:hAnsiTheme="majorHAnsi" w:cstheme="majorHAnsi"/>
                <w:sz w:val="24"/>
                <w:szCs w:val="10"/>
              </w:rPr>
            </w:pPr>
            <w:r w:rsidRPr="00AF5056">
              <w:rPr>
                <w:rFonts w:asciiTheme="majorHAnsi" w:hAnsiTheme="majorHAnsi" w:cstheme="majorHAnsi"/>
                <w:sz w:val="24"/>
                <w:szCs w:val="10"/>
              </w:rPr>
              <w:t>£1,000</w:t>
            </w:r>
          </w:p>
          <w:p w:rsidR="00967DD9" w:rsidRPr="00AF5056" w:rsidRDefault="00967DD9" w:rsidP="00B17665">
            <w:pPr>
              <w:pStyle w:val="TaxBody"/>
              <w:jc w:val="center"/>
              <w:rPr>
                <w:rFonts w:asciiTheme="majorHAnsi" w:hAnsiTheme="majorHAnsi" w:cstheme="majorHAnsi"/>
                <w:sz w:val="24"/>
                <w:szCs w:val="10"/>
              </w:rPr>
            </w:pPr>
            <w:r w:rsidRPr="00AF5056">
              <w:rPr>
                <w:rFonts w:asciiTheme="majorHAnsi" w:hAnsiTheme="majorHAnsi" w:cstheme="majorHAnsi"/>
                <w:sz w:val="24"/>
                <w:szCs w:val="10"/>
              </w:rPr>
              <w:t>£500</w:t>
            </w:r>
          </w:p>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pacing w:val="-4"/>
                <w:sz w:val="24"/>
                <w:szCs w:val="10"/>
              </w:rPr>
              <w:t>Dividend allowance at 0%</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£2,000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£2,000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pacing w:val="-4"/>
                <w:sz w:val="24"/>
                <w:szCs w:val="10"/>
              </w:rPr>
              <w:t>Marriage/civil partner transferable allowance**</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£1,250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£1,250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Trading/property allowance***</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£1,000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£1,000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Rent-a-room allowance</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£7,500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£7,500</w:t>
            </w:r>
          </w:p>
        </w:tc>
      </w:tr>
      <w:tr w:rsidR="00967DD9" w:rsidRPr="00AF5056" w:rsidTr="00967DD9">
        <w:trPr>
          <w:trHeight w:val="20"/>
        </w:trPr>
        <w:tc>
          <w:tcPr>
            <w:tcW w:w="2755"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Blind person’s allowance</w:t>
            </w:r>
          </w:p>
        </w:tc>
        <w:tc>
          <w:tcPr>
            <w:tcW w:w="109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£2,500</w:t>
            </w:r>
          </w:p>
        </w:tc>
        <w:tc>
          <w:tcPr>
            <w:tcW w:w="115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£2,450</w:t>
            </w:r>
          </w:p>
        </w:tc>
      </w:tr>
    </w:tbl>
    <w:p w:rsidR="00967DD9" w:rsidRPr="00AF5056" w:rsidRDefault="00967DD9" w:rsidP="00967DD9">
      <w:pPr>
        <w:pStyle w:val="Extrathings"/>
        <w:rPr>
          <w:rFonts w:asciiTheme="majorHAnsi" w:hAnsiTheme="majorHAnsi" w:cstheme="majorHAnsi"/>
          <w:sz w:val="16"/>
        </w:rPr>
      </w:pPr>
      <w:r w:rsidRPr="00AF5056">
        <w:rPr>
          <w:rFonts w:asciiTheme="majorHAnsi" w:hAnsiTheme="majorHAnsi" w:cstheme="majorHAnsi"/>
          <w:sz w:val="16"/>
        </w:rPr>
        <w:t>* The personal allowance is reduced by £1 for each £2 of income from £100,000 to £125,000 (2019/20, £125,000).</w:t>
      </w:r>
    </w:p>
    <w:p w:rsidR="00967DD9" w:rsidRPr="00AF5056" w:rsidRDefault="00967DD9" w:rsidP="00967DD9">
      <w:pPr>
        <w:pStyle w:val="Extrathings"/>
        <w:rPr>
          <w:rFonts w:asciiTheme="majorHAnsi" w:hAnsiTheme="majorHAnsi" w:cstheme="majorHAnsi"/>
          <w:sz w:val="16"/>
        </w:rPr>
      </w:pPr>
      <w:r w:rsidRPr="00AF5056">
        <w:rPr>
          <w:rFonts w:asciiTheme="majorHAnsi" w:hAnsiTheme="majorHAnsi" w:cstheme="majorHAnsi"/>
          <w:sz w:val="16"/>
        </w:rPr>
        <w:t>** Any unused personal allowance may be transferred to a spouse or civil partner, where the recipient is not liable to higher or additional-rate tax.</w:t>
      </w:r>
    </w:p>
    <w:p w:rsidR="00967DD9" w:rsidRPr="00AF5056" w:rsidRDefault="00967DD9" w:rsidP="00967DD9">
      <w:pPr>
        <w:pStyle w:val="Extrathings"/>
        <w:rPr>
          <w:rFonts w:asciiTheme="majorHAnsi" w:hAnsiTheme="majorHAnsi" w:cstheme="majorHAnsi"/>
          <w:sz w:val="16"/>
        </w:rPr>
      </w:pPr>
      <w:r w:rsidRPr="00AF5056">
        <w:rPr>
          <w:rFonts w:asciiTheme="majorHAnsi" w:hAnsiTheme="majorHAnsi" w:cstheme="majorHAnsi"/>
          <w:sz w:val="16"/>
        </w:rPr>
        <w:t>*** Note that landlords and traders with gross income from each of these sources in excess of £1,000 can deduct the allowance from their gross income as an alternative to claiming expenses.</w:t>
      </w:r>
    </w:p>
    <w:p w:rsidR="00967DD9" w:rsidRPr="00967DD9" w:rsidRDefault="00967DD9" w:rsidP="00967DD9">
      <w:pPr>
        <w:pStyle w:val="Heading1"/>
      </w:pPr>
      <w:r>
        <w:t>Income tax bands and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9"/>
        <w:gridCol w:w="3009"/>
        <w:gridCol w:w="3078"/>
      </w:tblGrid>
      <w:tr w:rsidR="00967DD9" w:rsidRPr="00AF5056" w:rsidTr="00967DD9">
        <w:trPr>
          <w:trHeight w:val="20"/>
        </w:trPr>
        <w:tc>
          <w:tcPr>
            <w:tcW w:w="2089"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1439"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2020/21</w:t>
            </w:r>
          </w:p>
        </w:tc>
        <w:tc>
          <w:tcPr>
            <w:tcW w:w="1472"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2019/20</w:t>
            </w:r>
          </w:p>
        </w:tc>
      </w:tr>
      <w:tr w:rsidR="00967DD9" w:rsidRPr="00AF5056"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B335F5" w:rsidP="00B17665">
            <w:pPr>
              <w:pStyle w:val="TaxBody"/>
              <w:rPr>
                <w:rFonts w:asciiTheme="majorHAnsi" w:hAnsiTheme="majorHAnsi" w:cstheme="majorHAnsi"/>
                <w:sz w:val="24"/>
              </w:rPr>
            </w:pPr>
            <w:r>
              <w:rPr>
                <w:rFonts w:asciiTheme="majorHAnsi" w:hAnsiTheme="majorHAnsi" w:cstheme="majorHAnsi"/>
                <w:spacing w:val="-2"/>
                <w:sz w:val="24"/>
                <w:szCs w:val="10"/>
              </w:rPr>
              <w:t>Starting rate of savings up to*</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£5,000</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£5,000</w:t>
            </w:r>
          </w:p>
        </w:tc>
      </w:tr>
      <w:tr w:rsidR="00967DD9" w:rsidRPr="00AF5056"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pacing w:val="-1"/>
                <w:sz w:val="24"/>
                <w:szCs w:val="10"/>
              </w:rPr>
              <w:t>Basic-rate band</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£37,500</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£37,500</w:t>
            </w:r>
          </w:p>
        </w:tc>
      </w:tr>
      <w:tr w:rsidR="00967DD9" w:rsidRPr="00AF5056"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Higher-rate band</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pacing w:val="-5"/>
                <w:sz w:val="24"/>
                <w:szCs w:val="10"/>
              </w:rPr>
              <w:t>£37,501 to £150,000</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pacing w:val="-2"/>
                <w:sz w:val="24"/>
                <w:szCs w:val="10"/>
              </w:rPr>
              <w:t>£37,501 to £150,000</w:t>
            </w:r>
          </w:p>
        </w:tc>
      </w:tr>
      <w:tr w:rsidR="00967DD9" w:rsidRPr="00AF5056"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Additional-rate band</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pacing w:val="-2"/>
                <w:w w:val="94"/>
                <w:sz w:val="24"/>
                <w:szCs w:val="10"/>
              </w:rPr>
              <w:t>Above</w:t>
            </w:r>
            <w:r w:rsidRPr="00AF5056">
              <w:rPr>
                <w:rFonts w:asciiTheme="majorHAnsi" w:hAnsiTheme="majorHAnsi" w:cstheme="majorHAnsi"/>
                <w:sz w:val="24"/>
                <w:szCs w:val="10"/>
              </w:rPr>
              <w:t xml:space="preserve"> £150,000</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pacing w:val="-2"/>
                <w:w w:val="94"/>
                <w:sz w:val="24"/>
                <w:szCs w:val="10"/>
              </w:rPr>
              <w:t>Above</w:t>
            </w:r>
            <w:r w:rsidRPr="00AF5056">
              <w:rPr>
                <w:rFonts w:asciiTheme="majorHAnsi" w:hAnsiTheme="majorHAnsi" w:cstheme="majorHAnsi"/>
                <w:sz w:val="24"/>
                <w:szCs w:val="10"/>
              </w:rPr>
              <w:t xml:space="preserve"> £150,000</w:t>
            </w:r>
          </w:p>
        </w:tc>
      </w:tr>
      <w:tr w:rsidR="00967DD9" w:rsidRPr="00AF5056"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Basic-rate</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20%</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20%</w:t>
            </w:r>
          </w:p>
        </w:tc>
      </w:tr>
      <w:tr w:rsidR="00967DD9" w:rsidRPr="00AF5056"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Higher-rate</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40%</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40%</w:t>
            </w:r>
          </w:p>
        </w:tc>
      </w:tr>
      <w:tr w:rsidR="00967DD9" w:rsidRPr="00C54564"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Additional-rate</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45%</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45%</w:t>
            </w:r>
          </w:p>
        </w:tc>
      </w:tr>
      <w:tr w:rsidR="00967DD9" w:rsidRPr="00C54564"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Dividend basic-rate</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7.5%</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7.5%</w:t>
            </w:r>
          </w:p>
        </w:tc>
      </w:tr>
      <w:tr w:rsidR="00967DD9" w:rsidRPr="00C54564"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Dividend higher-rate</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32.5%</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32.5%</w:t>
            </w:r>
          </w:p>
        </w:tc>
      </w:tr>
      <w:tr w:rsidR="00967DD9" w:rsidRPr="00C54564" w:rsidTr="00967DD9">
        <w:trPr>
          <w:trHeight w:val="20"/>
        </w:trPr>
        <w:tc>
          <w:tcPr>
            <w:tcW w:w="2089"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szCs w:val="10"/>
              </w:rPr>
              <w:t>Dividend additional-rate</w:t>
            </w:r>
          </w:p>
        </w:tc>
        <w:tc>
          <w:tcPr>
            <w:tcW w:w="143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38.1%</w:t>
            </w:r>
          </w:p>
        </w:tc>
        <w:tc>
          <w:tcPr>
            <w:tcW w:w="1472"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szCs w:val="10"/>
              </w:rPr>
              <w:t>38.1%</w:t>
            </w:r>
          </w:p>
        </w:tc>
      </w:tr>
    </w:tbl>
    <w:p w:rsidR="00967DD9" w:rsidRPr="00AF5056" w:rsidRDefault="00967DD9" w:rsidP="00967DD9">
      <w:pPr>
        <w:pStyle w:val="Extrathings"/>
        <w:rPr>
          <w:rFonts w:asciiTheme="majorHAnsi" w:hAnsiTheme="majorHAnsi" w:cstheme="majorHAnsi"/>
          <w:spacing w:val="-2"/>
          <w:sz w:val="16"/>
        </w:rPr>
      </w:pPr>
      <w:r w:rsidRPr="00AF5056">
        <w:rPr>
          <w:rFonts w:asciiTheme="majorHAnsi" w:hAnsiTheme="majorHAnsi" w:cstheme="majorHAnsi"/>
          <w:spacing w:val="-2"/>
          <w:sz w:val="16"/>
        </w:rPr>
        <w:t>* The starting rate does not apply if taxable income exceeds the starting rate limit.</w:t>
      </w:r>
    </w:p>
    <w:p w:rsidR="00967DD9" w:rsidRPr="00C54564" w:rsidRDefault="00967DD9" w:rsidP="00967DD9">
      <w:pPr>
        <w:pStyle w:val="Heading2"/>
      </w:pPr>
      <w:r w:rsidRPr="00C54564">
        <w:t>Income tax in Scotland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60"/>
        <w:gridCol w:w="2819"/>
        <w:gridCol w:w="1041"/>
        <w:gridCol w:w="2800"/>
        <w:gridCol w:w="1736"/>
      </w:tblGrid>
      <w:tr w:rsidR="00967DD9" w:rsidRPr="00C54564" w:rsidTr="00967DD9">
        <w:trPr>
          <w:trHeight w:val="20"/>
        </w:trPr>
        <w:tc>
          <w:tcPr>
            <w:tcW w:w="985"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NoParagraphStyle"/>
              <w:spacing w:line="240" w:lineRule="auto"/>
              <w:textAlignment w:val="auto"/>
              <w:rPr>
                <w:rFonts w:asciiTheme="majorHAnsi" w:hAnsiTheme="majorHAnsi" w:cstheme="majorHAnsi"/>
                <w:color w:val="auto"/>
                <w:sz w:val="24"/>
                <w:szCs w:val="24"/>
              </w:rPr>
            </w:pPr>
          </w:p>
        </w:tc>
        <w:tc>
          <w:tcPr>
            <w:tcW w:w="1846" w:type="pct"/>
            <w:gridSpan w:val="2"/>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2020/21</w:t>
            </w:r>
          </w:p>
        </w:tc>
        <w:tc>
          <w:tcPr>
            <w:tcW w:w="2169" w:type="pct"/>
            <w:gridSpan w:val="2"/>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2019/20</w:t>
            </w:r>
          </w:p>
        </w:tc>
      </w:tr>
      <w:tr w:rsidR="00967DD9" w:rsidRPr="00C54564" w:rsidTr="00967DD9">
        <w:trPr>
          <w:trHeight w:val="20"/>
        </w:trPr>
        <w:tc>
          <w:tcPr>
            <w:tcW w:w="985"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pacing w:val="3"/>
                <w:sz w:val="24"/>
                <w:szCs w:val="24"/>
              </w:rPr>
              <w:t>Band</w:t>
            </w:r>
          </w:p>
        </w:tc>
        <w:tc>
          <w:tcPr>
            <w:tcW w:w="1348"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pacing w:val="3"/>
                <w:sz w:val="24"/>
                <w:szCs w:val="24"/>
              </w:rPr>
              <w:t>Taxable income</w:t>
            </w:r>
          </w:p>
        </w:tc>
        <w:tc>
          <w:tcPr>
            <w:tcW w:w="498"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pacing w:val="-3"/>
                <w:sz w:val="24"/>
                <w:szCs w:val="24"/>
              </w:rPr>
              <w:t>Rate</w:t>
            </w:r>
          </w:p>
        </w:tc>
        <w:tc>
          <w:tcPr>
            <w:tcW w:w="1339"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pacing w:val="3"/>
                <w:sz w:val="24"/>
                <w:szCs w:val="24"/>
              </w:rPr>
              <w:t>Taxable income</w:t>
            </w:r>
          </w:p>
        </w:tc>
        <w:tc>
          <w:tcPr>
            <w:tcW w:w="83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pacing w:val="-3"/>
                <w:sz w:val="24"/>
                <w:szCs w:val="24"/>
              </w:rPr>
              <w:t>Rate</w:t>
            </w:r>
          </w:p>
        </w:tc>
      </w:tr>
      <w:tr w:rsidR="00967DD9" w:rsidRPr="00C54564" w:rsidTr="00967DD9">
        <w:trPr>
          <w:trHeight w:val="20"/>
        </w:trPr>
        <w:tc>
          <w:tcPr>
            <w:tcW w:w="985" w:type="pct"/>
            <w:shd w:val="solid" w:color="FFFFFF" w:fill="auto"/>
            <w:tcMar>
              <w:top w:w="0" w:type="dxa"/>
              <w:left w:w="57" w:type="dxa"/>
              <w:bottom w:w="0" w:type="dxa"/>
              <w:right w:w="57"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Starter</w:t>
            </w:r>
          </w:p>
        </w:tc>
        <w:tc>
          <w:tcPr>
            <w:tcW w:w="134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£12,501 – £14,585</w:t>
            </w:r>
          </w:p>
        </w:tc>
        <w:tc>
          <w:tcPr>
            <w:tcW w:w="49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19%</w:t>
            </w:r>
          </w:p>
        </w:tc>
        <w:tc>
          <w:tcPr>
            <w:tcW w:w="1339"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 xml:space="preserve">£12,501 – £14,549 </w:t>
            </w:r>
          </w:p>
        </w:tc>
        <w:tc>
          <w:tcPr>
            <w:tcW w:w="830"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19%</w:t>
            </w:r>
          </w:p>
        </w:tc>
      </w:tr>
      <w:tr w:rsidR="00967DD9" w:rsidRPr="00C54564" w:rsidTr="00967DD9">
        <w:trPr>
          <w:trHeight w:val="20"/>
        </w:trPr>
        <w:tc>
          <w:tcPr>
            <w:tcW w:w="985" w:type="pct"/>
            <w:shd w:val="solid" w:color="FFFFFF" w:fill="auto"/>
            <w:tcMar>
              <w:top w:w="0" w:type="dxa"/>
              <w:left w:w="57" w:type="dxa"/>
              <w:bottom w:w="0" w:type="dxa"/>
              <w:right w:w="57"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Basic</w:t>
            </w:r>
          </w:p>
        </w:tc>
        <w:tc>
          <w:tcPr>
            <w:tcW w:w="134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£14,586 – £25,158</w:t>
            </w:r>
          </w:p>
        </w:tc>
        <w:tc>
          <w:tcPr>
            <w:tcW w:w="49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c>
          <w:tcPr>
            <w:tcW w:w="1339"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£14,550 – £24,944</w:t>
            </w:r>
          </w:p>
        </w:tc>
        <w:tc>
          <w:tcPr>
            <w:tcW w:w="830"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r>
      <w:tr w:rsidR="00967DD9" w:rsidRPr="00C54564" w:rsidTr="00967DD9">
        <w:trPr>
          <w:trHeight w:val="20"/>
        </w:trPr>
        <w:tc>
          <w:tcPr>
            <w:tcW w:w="985" w:type="pct"/>
            <w:shd w:val="solid" w:color="FFFFFF" w:fill="auto"/>
            <w:tcMar>
              <w:top w:w="0" w:type="dxa"/>
              <w:left w:w="57" w:type="dxa"/>
              <w:bottom w:w="0" w:type="dxa"/>
              <w:right w:w="57"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Intermediate</w:t>
            </w:r>
          </w:p>
        </w:tc>
        <w:tc>
          <w:tcPr>
            <w:tcW w:w="134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£25,159 – £43,430</w:t>
            </w:r>
          </w:p>
        </w:tc>
        <w:tc>
          <w:tcPr>
            <w:tcW w:w="49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21%</w:t>
            </w:r>
          </w:p>
        </w:tc>
        <w:tc>
          <w:tcPr>
            <w:tcW w:w="1339"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£24,945 – £43,430</w:t>
            </w:r>
          </w:p>
        </w:tc>
        <w:tc>
          <w:tcPr>
            <w:tcW w:w="830"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21%</w:t>
            </w:r>
          </w:p>
        </w:tc>
      </w:tr>
      <w:tr w:rsidR="00967DD9" w:rsidRPr="00C54564" w:rsidTr="00967DD9">
        <w:trPr>
          <w:trHeight w:val="20"/>
        </w:trPr>
        <w:tc>
          <w:tcPr>
            <w:tcW w:w="985" w:type="pct"/>
            <w:shd w:val="solid" w:color="FFFFFF" w:fill="auto"/>
            <w:tcMar>
              <w:top w:w="0" w:type="dxa"/>
              <w:left w:w="57" w:type="dxa"/>
              <w:bottom w:w="0" w:type="dxa"/>
              <w:right w:w="57"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Higher</w:t>
            </w:r>
          </w:p>
        </w:tc>
        <w:tc>
          <w:tcPr>
            <w:tcW w:w="134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£43,431 – £150,000</w:t>
            </w:r>
          </w:p>
        </w:tc>
        <w:tc>
          <w:tcPr>
            <w:tcW w:w="49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3"/>
                <w:sz w:val="24"/>
                <w:szCs w:val="24"/>
              </w:rPr>
              <w:t>41%</w:t>
            </w:r>
          </w:p>
        </w:tc>
        <w:tc>
          <w:tcPr>
            <w:tcW w:w="1339"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£43,431 – £150,000</w:t>
            </w:r>
          </w:p>
        </w:tc>
        <w:tc>
          <w:tcPr>
            <w:tcW w:w="830"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3"/>
                <w:sz w:val="24"/>
                <w:szCs w:val="24"/>
              </w:rPr>
              <w:t>41%</w:t>
            </w:r>
          </w:p>
        </w:tc>
      </w:tr>
      <w:tr w:rsidR="00967DD9" w:rsidRPr="00C54564" w:rsidTr="00967DD9">
        <w:trPr>
          <w:trHeight w:val="20"/>
        </w:trPr>
        <w:tc>
          <w:tcPr>
            <w:tcW w:w="985" w:type="pct"/>
            <w:shd w:val="solid" w:color="FFFFFF" w:fill="auto"/>
            <w:tcMar>
              <w:top w:w="0" w:type="dxa"/>
              <w:left w:w="57" w:type="dxa"/>
              <w:bottom w:w="0" w:type="dxa"/>
              <w:right w:w="57"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Top</w:t>
            </w:r>
          </w:p>
        </w:tc>
        <w:tc>
          <w:tcPr>
            <w:tcW w:w="134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Above £150,000</w:t>
            </w:r>
          </w:p>
        </w:tc>
        <w:tc>
          <w:tcPr>
            <w:tcW w:w="498"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46%</w:t>
            </w:r>
          </w:p>
        </w:tc>
        <w:tc>
          <w:tcPr>
            <w:tcW w:w="1339"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pacing w:val="-2"/>
                <w:w w:val="94"/>
                <w:sz w:val="24"/>
                <w:szCs w:val="24"/>
              </w:rPr>
              <w:t>Above £150,000</w:t>
            </w:r>
          </w:p>
        </w:tc>
        <w:tc>
          <w:tcPr>
            <w:tcW w:w="830" w:type="pct"/>
            <w:shd w:val="solid" w:color="FFFFFF" w:fill="auto"/>
            <w:tcMar>
              <w:top w:w="0" w:type="dxa"/>
              <w:left w:w="57" w:type="dxa"/>
              <w:bottom w:w="0" w:type="dxa"/>
              <w:right w:w="57"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46%</w:t>
            </w:r>
          </w:p>
        </w:tc>
      </w:tr>
    </w:tbl>
    <w:p w:rsidR="00967DD9" w:rsidRPr="00C54564" w:rsidRDefault="00967DD9" w:rsidP="00967DD9">
      <w:pPr>
        <w:pStyle w:val="ParagraphHeading"/>
        <w:rPr>
          <w:rFonts w:asciiTheme="majorHAnsi" w:hAnsiTheme="majorHAnsi" w:cstheme="majorHAnsi"/>
        </w:rPr>
      </w:pPr>
    </w:p>
    <w:p w:rsidR="00967DD9" w:rsidRPr="00C54564" w:rsidRDefault="00967DD9" w:rsidP="00967DD9">
      <w:pPr>
        <w:pStyle w:val="Heading1"/>
        <w:rPr>
          <w:spacing w:val="-5"/>
        </w:rPr>
      </w:pPr>
      <w:r>
        <w:lastRenderedPageBreak/>
        <w:t>Vehicle and fuel benefits-in-kind</w:t>
      </w:r>
    </w:p>
    <w:p w:rsidR="00967DD9" w:rsidRPr="00967DD9" w:rsidRDefault="00967DD9" w:rsidP="00967DD9">
      <w:pPr>
        <w:pStyle w:val="TaxBody"/>
        <w:rPr>
          <w:rFonts w:asciiTheme="majorHAnsi" w:hAnsiTheme="majorHAnsi" w:cstheme="majorHAnsi"/>
          <w:color w:val="0A2B2D"/>
          <w:sz w:val="22"/>
          <w:szCs w:val="10"/>
        </w:rPr>
      </w:pPr>
      <w:r w:rsidRPr="00967DD9">
        <w:rPr>
          <w:rFonts w:asciiTheme="majorHAnsi" w:hAnsiTheme="majorHAnsi" w:cstheme="majorHAnsi"/>
          <w:sz w:val="22"/>
        </w:rPr>
        <w:t>The taxable benefit-in-kind is calculated as a percentage of the car’s UK list price. The percentage depends on the car’s CO</w:t>
      </w:r>
      <w:r w:rsidRPr="00967DD9">
        <w:rPr>
          <w:rFonts w:asciiTheme="majorHAnsi" w:hAnsiTheme="majorHAnsi" w:cstheme="majorHAnsi"/>
          <w:position w:val="4"/>
          <w:sz w:val="22"/>
          <w:vertAlign w:val="subscript"/>
        </w:rPr>
        <w:t>2</w:t>
      </w:r>
      <w:r w:rsidRPr="00967DD9">
        <w:rPr>
          <w:rFonts w:asciiTheme="majorHAnsi" w:hAnsiTheme="majorHAnsi" w:cstheme="majorHAnsi"/>
          <w:sz w:val="22"/>
        </w:rPr>
        <w:t xml:space="preserve"> emissions in grams per kilometre (g/km).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2"/>
        <w:gridCol w:w="2616"/>
        <w:gridCol w:w="2612"/>
        <w:gridCol w:w="2616"/>
      </w:tblGrid>
      <w:tr w:rsidR="00967DD9" w:rsidRPr="00C54564" w:rsidTr="00967DD9">
        <w:trPr>
          <w:trHeight w:val="381"/>
          <w:tblHeader/>
        </w:trPr>
        <w:tc>
          <w:tcPr>
            <w:tcW w:w="1249" w:type="pct"/>
            <w:shd w:val="clear" w:color="auto" w:fill="D9D9D9" w:themeFill="background1" w:themeFillShade="D9"/>
            <w:tcMar>
              <w:top w:w="80" w:type="dxa"/>
              <w:left w:w="80" w:type="dxa"/>
              <w:bottom w:w="80" w:type="dxa"/>
              <w:right w:w="80" w:type="dxa"/>
            </w:tcMar>
          </w:tcPr>
          <w:p w:rsidR="00967DD9" w:rsidRPr="00B335F5" w:rsidRDefault="00B335F5" w:rsidP="00B17665">
            <w:pPr>
              <w:pStyle w:val="TaxBody"/>
              <w:rPr>
                <w:rFonts w:asciiTheme="majorHAnsi" w:hAnsiTheme="majorHAnsi" w:cstheme="majorHAnsi"/>
                <w:sz w:val="24"/>
                <w:szCs w:val="24"/>
              </w:rPr>
            </w:pPr>
            <w:r w:rsidRPr="00B335F5">
              <w:rPr>
                <w:rFonts w:asciiTheme="majorHAnsi" w:hAnsiTheme="majorHAnsi" w:cstheme="majorHAnsi"/>
                <w:b/>
                <w:sz w:val="24"/>
                <w:szCs w:val="24"/>
              </w:rPr>
              <w:t>CO</w:t>
            </w:r>
            <w:r w:rsidRPr="00B335F5">
              <w:rPr>
                <w:rFonts w:asciiTheme="majorHAnsi" w:hAnsiTheme="majorHAnsi" w:cstheme="majorHAnsi"/>
                <w:b/>
                <w:position w:val="4"/>
                <w:sz w:val="24"/>
                <w:szCs w:val="24"/>
                <w:vertAlign w:val="subscript"/>
              </w:rPr>
              <w:t>2</w:t>
            </w:r>
            <w:r w:rsidR="00967DD9" w:rsidRPr="00B335F5">
              <w:rPr>
                <w:rFonts w:asciiTheme="majorHAnsi" w:hAnsiTheme="majorHAnsi" w:cstheme="majorHAnsi"/>
                <w:b/>
                <w:bCs/>
                <w:sz w:val="24"/>
                <w:szCs w:val="24"/>
              </w:rPr>
              <w:t xml:space="preserve"> emissions (g/km)</w:t>
            </w:r>
          </w:p>
        </w:tc>
        <w:tc>
          <w:tcPr>
            <w:tcW w:w="1251" w:type="pct"/>
            <w:shd w:val="clear" w:color="auto" w:fill="D9D9D9" w:themeFill="background1" w:themeFillShade="D9"/>
            <w:tcMar>
              <w:top w:w="80" w:type="dxa"/>
              <w:left w:w="80" w:type="dxa"/>
              <w:bottom w:w="80" w:type="dxa"/>
              <w:right w:w="80" w:type="dxa"/>
            </w:tcMa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 xml:space="preserve">Electric range (miles)                </w:t>
            </w:r>
          </w:p>
        </w:tc>
        <w:tc>
          <w:tcPr>
            <w:tcW w:w="1249" w:type="pct"/>
            <w:shd w:val="clear" w:color="auto" w:fill="D9D9D9" w:themeFill="background1" w:themeFillShade="D9"/>
            <w:tcMar>
              <w:top w:w="80" w:type="dxa"/>
              <w:left w:w="80" w:type="dxa"/>
              <w:bottom w:w="80" w:type="dxa"/>
              <w:right w:w="80" w:type="dxa"/>
            </w:tcMa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Cars registered before 6 April*</w:t>
            </w:r>
          </w:p>
        </w:tc>
        <w:tc>
          <w:tcPr>
            <w:tcW w:w="1251" w:type="pct"/>
            <w:shd w:val="clear" w:color="auto" w:fill="D9D9D9" w:themeFill="background1" w:themeFillShade="D9"/>
            <w:tcMar>
              <w:top w:w="80" w:type="dxa"/>
              <w:left w:w="80" w:type="dxa"/>
              <w:bottom w:w="80" w:type="dxa"/>
              <w:right w:w="80" w:type="dxa"/>
            </w:tcMar>
          </w:tcPr>
          <w:p w:rsidR="00967DD9" w:rsidRPr="00AF5056" w:rsidRDefault="00967DD9" w:rsidP="00EA7F39">
            <w:pPr>
              <w:pStyle w:val="TaxBody"/>
              <w:jc w:val="center"/>
              <w:rPr>
                <w:rFonts w:asciiTheme="majorHAnsi" w:hAnsiTheme="majorHAnsi" w:cstheme="majorHAnsi"/>
                <w:sz w:val="24"/>
              </w:rPr>
            </w:pPr>
            <w:r w:rsidRPr="00AF5056">
              <w:rPr>
                <w:rFonts w:asciiTheme="majorHAnsi" w:hAnsiTheme="majorHAnsi" w:cstheme="majorHAnsi"/>
                <w:b/>
                <w:bCs/>
                <w:sz w:val="24"/>
              </w:rPr>
              <w:t>Cars reg</w:t>
            </w:r>
            <w:r w:rsidR="00EA7F39">
              <w:rPr>
                <w:rFonts w:asciiTheme="majorHAnsi" w:hAnsiTheme="majorHAnsi" w:cstheme="majorHAnsi"/>
                <w:b/>
                <w:bCs/>
                <w:sz w:val="24"/>
              </w:rPr>
              <w:t>istere</w:t>
            </w:r>
            <w:r w:rsidRPr="00AF5056">
              <w:rPr>
                <w:rFonts w:asciiTheme="majorHAnsi" w:hAnsiTheme="majorHAnsi" w:cstheme="majorHAnsi"/>
                <w:b/>
                <w:bCs/>
                <w:sz w:val="24"/>
              </w:rPr>
              <w:t>d on</w:t>
            </w:r>
            <w:r w:rsidR="00EA7F39">
              <w:rPr>
                <w:rFonts w:asciiTheme="majorHAnsi" w:hAnsiTheme="majorHAnsi" w:cstheme="majorHAnsi"/>
                <w:b/>
                <w:bCs/>
                <w:sz w:val="24"/>
              </w:rPr>
              <w:t xml:space="preserve"> or </w:t>
            </w:r>
            <w:r w:rsidRPr="00AF5056">
              <w:rPr>
                <w:rFonts w:asciiTheme="majorHAnsi" w:hAnsiTheme="majorHAnsi" w:cstheme="majorHAnsi"/>
                <w:b/>
                <w:bCs/>
                <w:sz w:val="24"/>
              </w:rPr>
              <w:t>after 6 April*</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n/a</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0%</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1 – 50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130 and over</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2%</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0%</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1 – 50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 xml:space="preserve">70 </w:t>
            </w:r>
            <w:r w:rsidRPr="00AF5056">
              <w:rPr>
                <w:rFonts w:asciiTheme="majorHAnsi" w:hAnsiTheme="majorHAnsi" w:cstheme="majorHAnsi"/>
                <w:sz w:val="24"/>
              </w:rPr>
              <w:t>– 129</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5%</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3%</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1 – 50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 xml:space="preserve">40 </w:t>
            </w:r>
            <w:r w:rsidRPr="00AF5056">
              <w:rPr>
                <w:rFonts w:asciiTheme="majorHAnsi" w:hAnsiTheme="majorHAnsi" w:cstheme="majorHAnsi"/>
                <w:sz w:val="24"/>
              </w:rPr>
              <w:t>– 69</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8%</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6%</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1 – 50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 xml:space="preserve">30 </w:t>
            </w:r>
            <w:r w:rsidRPr="00AF5056">
              <w:rPr>
                <w:rFonts w:asciiTheme="majorHAnsi" w:hAnsiTheme="majorHAnsi" w:cstheme="majorHAnsi"/>
                <w:sz w:val="24"/>
              </w:rPr>
              <w:t>– 39</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12%</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10%</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1 – 50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Under 30</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14%</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12%</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51 – 54</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n/a</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15%</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13%</w:t>
            </w:r>
          </w:p>
        </w:tc>
      </w:tr>
      <w:tr w:rsidR="00967DD9" w:rsidRPr="00C54564" w:rsidTr="00967DD9">
        <w:trPr>
          <w:trHeight w:val="60"/>
        </w:trPr>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Over 54</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rPr>
            </w:pPr>
            <w:r w:rsidRPr="00AF5056">
              <w:rPr>
                <w:rStyle w:val="Nemo"/>
                <w:rFonts w:asciiTheme="majorHAnsi" w:hAnsiTheme="majorHAnsi" w:cstheme="majorHAnsi"/>
                <w:sz w:val="24"/>
              </w:rPr>
              <w:t>n/a</w:t>
            </w:r>
          </w:p>
        </w:tc>
        <w:tc>
          <w:tcPr>
            <w:tcW w:w="1249" w:type="pct"/>
            <w:tcMar>
              <w:top w:w="80" w:type="dxa"/>
              <w:left w:w="80" w:type="dxa"/>
              <w:bottom w:w="80" w:type="dxa"/>
              <w:right w:w="80" w:type="dxa"/>
            </w:tcMar>
          </w:tcPr>
          <w:p w:rsidR="00967DD9" w:rsidRPr="00AF5056" w:rsidRDefault="00B335F5" w:rsidP="00B17665">
            <w:pPr>
              <w:pStyle w:val="TaxBody"/>
              <w:rPr>
                <w:rFonts w:asciiTheme="majorHAnsi" w:hAnsiTheme="majorHAnsi" w:cstheme="majorHAnsi"/>
                <w:sz w:val="24"/>
              </w:rPr>
            </w:pPr>
            <w:r>
              <w:rPr>
                <w:rStyle w:val="Nemo"/>
                <w:rFonts w:asciiTheme="majorHAnsi" w:hAnsiTheme="majorHAnsi" w:cstheme="majorHAnsi"/>
                <w:sz w:val="24"/>
              </w:rPr>
              <w:t xml:space="preserve">Add </w:t>
            </w:r>
            <w:r w:rsidR="00967DD9" w:rsidRPr="00AF5056">
              <w:rPr>
                <w:rStyle w:val="Nemo"/>
                <w:rFonts w:asciiTheme="majorHAnsi" w:hAnsiTheme="majorHAnsi" w:cstheme="majorHAnsi"/>
                <w:sz w:val="24"/>
              </w:rPr>
              <w:t xml:space="preserve">1% </w:t>
            </w:r>
            <w:r>
              <w:rPr>
                <w:rStyle w:val="Nemo"/>
                <w:rFonts w:asciiTheme="majorHAnsi" w:hAnsiTheme="majorHAnsi" w:cstheme="majorHAnsi"/>
                <w:sz w:val="24"/>
              </w:rPr>
              <w:t xml:space="preserve">for </w:t>
            </w:r>
            <w:r w:rsidR="00967DD9" w:rsidRPr="00AF5056">
              <w:rPr>
                <w:rStyle w:val="Nemo"/>
                <w:rFonts w:asciiTheme="majorHAnsi" w:hAnsiTheme="majorHAnsi" w:cstheme="majorHAnsi"/>
                <w:sz w:val="24"/>
              </w:rPr>
              <w:t xml:space="preserve">every 5g/km up to </w:t>
            </w:r>
            <w:r>
              <w:rPr>
                <w:rStyle w:val="Nemo"/>
                <w:rFonts w:asciiTheme="majorHAnsi" w:hAnsiTheme="majorHAnsi" w:cstheme="majorHAnsi"/>
                <w:sz w:val="24"/>
              </w:rPr>
              <w:t xml:space="preserve">a maximum of </w:t>
            </w:r>
            <w:r w:rsidR="00967DD9" w:rsidRPr="00AF5056">
              <w:rPr>
                <w:rStyle w:val="Nemo"/>
                <w:rFonts w:asciiTheme="majorHAnsi" w:hAnsiTheme="majorHAnsi" w:cstheme="majorHAnsi"/>
                <w:sz w:val="24"/>
              </w:rPr>
              <w:t>37%</w:t>
            </w:r>
          </w:p>
        </w:tc>
        <w:tc>
          <w:tcPr>
            <w:tcW w:w="1251" w:type="pct"/>
            <w:tcMar>
              <w:top w:w="80" w:type="dxa"/>
              <w:left w:w="80" w:type="dxa"/>
              <w:bottom w:w="80" w:type="dxa"/>
              <w:right w:w="80" w:type="dxa"/>
            </w:tcMar>
          </w:tcPr>
          <w:p w:rsidR="00967DD9" w:rsidRPr="00AF5056" w:rsidRDefault="00B335F5" w:rsidP="00B17665">
            <w:pPr>
              <w:pStyle w:val="TaxBody"/>
              <w:rPr>
                <w:rFonts w:asciiTheme="majorHAnsi" w:hAnsiTheme="majorHAnsi" w:cstheme="majorHAnsi"/>
                <w:sz w:val="24"/>
              </w:rPr>
            </w:pPr>
            <w:r>
              <w:rPr>
                <w:rStyle w:val="Nemo"/>
                <w:rFonts w:asciiTheme="majorHAnsi" w:hAnsiTheme="majorHAnsi" w:cstheme="majorHAnsi"/>
                <w:sz w:val="24"/>
              </w:rPr>
              <w:t xml:space="preserve">Add </w:t>
            </w:r>
            <w:r w:rsidR="00967DD9" w:rsidRPr="00AF5056">
              <w:rPr>
                <w:rStyle w:val="Nemo"/>
                <w:rFonts w:asciiTheme="majorHAnsi" w:hAnsiTheme="majorHAnsi" w:cstheme="majorHAnsi"/>
                <w:sz w:val="24"/>
              </w:rPr>
              <w:t xml:space="preserve">1% </w:t>
            </w:r>
            <w:r>
              <w:rPr>
                <w:rStyle w:val="Nemo"/>
                <w:rFonts w:asciiTheme="majorHAnsi" w:hAnsiTheme="majorHAnsi" w:cstheme="majorHAnsi"/>
                <w:sz w:val="24"/>
              </w:rPr>
              <w:t xml:space="preserve">for </w:t>
            </w:r>
            <w:r w:rsidR="00967DD9" w:rsidRPr="00AF5056">
              <w:rPr>
                <w:rStyle w:val="Nemo"/>
                <w:rFonts w:asciiTheme="majorHAnsi" w:hAnsiTheme="majorHAnsi" w:cstheme="majorHAnsi"/>
                <w:sz w:val="24"/>
              </w:rPr>
              <w:t xml:space="preserve">every 5g/km up to </w:t>
            </w:r>
            <w:r>
              <w:rPr>
                <w:rStyle w:val="Nemo"/>
                <w:rFonts w:asciiTheme="majorHAnsi" w:hAnsiTheme="majorHAnsi" w:cstheme="majorHAnsi"/>
                <w:sz w:val="24"/>
              </w:rPr>
              <w:t xml:space="preserve">a maximum of </w:t>
            </w:r>
            <w:r w:rsidR="00967DD9" w:rsidRPr="00AF5056">
              <w:rPr>
                <w:rStyle w:val="Nemo"/>
                <w:rFonts w:asciiTheme="majorHAnsi" w:hAnsiTheme="majorHAnsi" w:cstheme="majorHAnsi"/>
                <w:sz w:val="24"/>
              </w:rPr>
              <w:t>37%</w:t>
            </w:r>
          </w:p>
        </w:tc>
      </w:tr>
    </w:tbl>
    <w:p w:rsidR="00967DD9" w:rsidRPr="00AF5056" w:rsidRDefault="00967DD9" w:rsidP="00967DD9">
      <w:pPr>
        <w:pStyle w:val="Extrathings"/>
        <w:rPr>
          <w:rFonts w:asciiTheme="majorHAnsi" w:hAnsiTheme="majorHAnsi" w:cstheme="majorHAnsi"/>
          <w:sz w:val="16"/>
        </w:rPr>
      </w:pPr>
      <w:r w:rsidRPr="00AF5056">
        <w:rPr>
          <w:rFonts w:asciiTheme="majorHAnsi" w:hAnsiTheme="majorHAnsi" w:cstheme="majorHAnsi"/>
          <w:sz w:val="16"/>
        </w:rPr>
        <w:t>* Diesel vehicles not meeting the RDE2 standard will be liable to a 4% surcharge.</w:t>
      </w:r>
    </w:p>
    <w:p w:rsidR="00967DD9" w:rsidRPr="00AF5056" w:rsidRDefault="00967DD9" w:rsidP="00967DD9">
      <w:pPr>
        <w:pStyle w:val="Extrathings"/>
        <w:rPr>
          <w:rFonts w:asciiTheme="majorHAnsi" w:hAnsiTheme="majorHAnsi" w:cstheme="majorHAnsi"/>
          <w:sz w:val="16"/>
        </w:rPr>
      </w:pPr>
    </w:p>
    <w:p w:rsidR="00967DD9" w:rsidRPr="00967DD9" w:rsidRDefault="00967DD9" w:rsidP="00967DD9">
      <w:pPr>
        <w:pStyle w:val="Extrathings"/>
        <w:rPr>
          <w:rFonts w:asciiTheme="majorHAnsi" w:hAnsiTheme="majorHAnsi" w:cstheme="majorHAnsi"/>
          <w:sz w:val="22"/>
        </w:rPr>
      </w:pPr>
      <w:r w:rsidRPr="00967DD9">
        <w:rPr>
          <w:rFonts w:asciiTheme="majorHAnsi" w:hAnsiTheme="majorHAnsi" w:cstheme="majorHAnsi"/>
          <w:sz w:val="22"/>
        </w:rPr>
        <w:t>The list price is on the day before first registration, including most accessories and is reduced by any employee’s capital contribution (max £5,000) when the car is first made available. Where the cost of all fuel for private use is borne by the employee, the fuel benefit is nil. Otherwise, the fuel benefit is calculated by applying the car benefit percentage to the car fuel benefit multiplier (below).</w:t>
      </w:r>
    </w:p>
    <w:p w:rsidR="00967DD9" w:rsidRPr="00AF5056" w:rsidRDefault="00967DD9" w:rsidP="00967DD9">
      <w:pPr>
        <w:pStyle w:val="Extrathings"/>
        <w:rPr>
          <w:rFonts w:asciiTheme="majorHAnsi" w:hAnsiTheme="majorHAnsi" w:cstheme="majorHAns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8"/>
        <w:gridCol w:w="2612"/>
        <w:gridCol w:w="2616"/>
      </w:tblGrid>
      <w:tr w:rsidR="00967DD9" w:rsidRPr="00C54564" w:rsidTr="00967DD9">
        <w:trPr>
          <w:trHeight w:val="20"/>
          <w:tblHeader/>
        </w:trPr>
        <w:tc>
          <w:tcPr>
            <w:tcW w:w="2500" w:type="pct"/>
            <w:shd w:val="clear" w:color="auto" w:fill="D9D9D9" w:themeFill="background1" w:themeFillShade="D9"/>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b/>
                <w:bCs/>
                <w:sz w:val="24"/>
                <w:szCs w:val="24"/>
              </w:rPr>
              <w:t>Company car fuel</w:t>
            </w:r>
          </w:p>
        </w:tc>
        <w:tc>
          <w:tcPr>
            <w:tcW w:w="1249" w:type="pct"/>
            <w:shd w:val="clear" w:color="auto" w:fill="D9D9D9" w:themeFill="background1" w:themeFillShade="D9"/>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b/>
                <w:bCs/>
                <w:sz w:val="24"/>
                <w:szCs w:val="24"/>
              </w:rPr>
              <w:t>2020/21</w:t>
            </w:r>
          </w:p>
        </w:tc>
        <w:tc>
          <w:tcPr>
            <w:tcW w:w="1251" w:type="pct"/>
            <w:shd w:val="clear" w:color="auto" w:fill="D9D9D9" w:themeFill="background1" w:themeFillShade="D9"/>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b/>
                <w:bCs/>
                <w:sz w:val="24"/>
                <w:szCs w:val="24"/>
              </w:rPr>
              <w:t>2019/20</w:t>
            </w:r>
          </w:p>
        </w:tc>
      </w:tr>
      <w:tr w:rsidR="00967DD9" w:rsidRPr="00C54564" w:rsidTr="00967DD9">
        <w:trPr>
          <w:trHeight w:val="20"/>
        </w:trPr>
        <w:tc>
          <w:tcPr>
            <w:tcW w:w="2500"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Car fuel benefit multiplier</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£24,500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£24,100</w:t>
            </w:r>
          </w:p>
        </w:tc>
      </w:tr>
      <w:tr w:rsidR="00967DD9" w:rsidRPr="00C54564" w:rsidTr="00967DD9">
        <w:trPr>
          <w:trHeight w:val="20"/>
        </w:trPr>
        <w:tc>
          <w:tcPr>
            <w:tcW w:w="2500"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b/>
                <w:bCs/>
                <w:sz w:val="24"/>
                <w:szCs w:val="24"/>
              </w:rPr>
              <w:t>Company vans*</w:t>
            </w:r>
          </w:p>
        </w:tc>
        <w:tc>
          <w:tcPr>
            <w:tcW w:w="1249" w:type="pct"/>
            <w:tcMar>
              <w:top w:w="80" w:type="dxa"/>
              <w:left w:w="80" w:type="dxa"/>
              <w:bottom w:w="80" w:type="dxa"/>
              <w:right w:w="80" w:type="dxa"/>
            </w:tcMar>
          </w:tcPr>
          <w:p w:rsidR="00967DD9" w:rsidRPr="00AF5056" w:rsidRDefault="00967DD9" w:rsidP="00B17665">
            <w:pPr>
              <w:pStyle w:val="NoParagraphStyle"/>
              <w:spacing w:line="240" w:lineRule="auto"/>
              <w:textAlignment w:val="auto"/>
              <w:rPr>
                <w:rFonts w:asciiTheme="majorHAnsi" w:hAnsiTheme="majorHAnsi" w:cstheme="majorHAnsi"/>
                <w:color w:val="auto"/>
                <w:sz w:val="24"/>
                <w:szCs w:val="24"/>
              </w:rPr>
            </w:pPr>
          </w:p>
        </w:tc>
        <w:tc>
          <w:tcPr>
            <w:tcW w:w="1251" w:type="pct"/>
            <w:tcMar>
              <w:top w:w="80" w:type="dxa"/>
              <w:left w:w="80" w:type="dxa"/>
              <w:bottom w:w="80" w:type="dxa"/>
              <w:right w:w="80" w:type="dxa"/>
            </w:tcMar>
          </w:tcPr>
          <w:p w:rsidR="00967DD9" w:rsidRPr="00AF5056" w:rsidRDefault="00967DD9" w:rsidP="00B17665">
            <w:pPr>
              <w:pStyle w:val="NoParagraphStyle"/>
              <w:spacing w:line="240" w:lineRule="auto"/>
              <w:textAlignment w:val="auto"/>
              <w:rPr>
                <w:rFonts w:asciiTheme="majorHAnsi" w:hAnsiTheme="majorHAnsi" w:cstheme="majorHAnsi"/>
                <w:color w:val="auto"/>
                <w:sz w:val="24"/>
                <w:szCs w:val="24"/>
              </w:rPr>
            </w:pPr>
          </w:p>
        </w:tc>
      </w:tr>
      <w:tr w:rsidR="00967DD9" w:rsidRPr="00C54564" w:rsidTr="00967DD9">
        <w:trPr>
          <w:trHeight w:val="20"/>
        </w:trPr>
        <w:tc>
          <w:tcPr>
            <w:tcW w:w="2500"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Van benefit charge</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£3,490</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£3,430</w:t>
            </w:r>
          </w:p>
        </w:tc>
      </w:tr>
      <w:tr w:rsidR="00967DD9" w:rsidRPr="00C54564" w:rsidTr="00967DD9">
        <w:trPr>
          <w:trHeight w:val="20"/>
        </w:trPr>
        <w:tc>
          <w:tcPr>
            <w:tcW w:w="2500"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Van fuel benefit multiplier</w:t>
            </w:r>
          </w:p>
        </w:tc>
        <w:tc>
          <w:tcPr>
            <w:tcW w:w="1249"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£666</w:t>
            </w:r>
          </w:p>
        </w:tc>
        <w:tc>
          <w:tcPr>
            <w:tcW w:w="1251" w:type="pct"/>
            <w:tcMar>
              <w:top w:w="80" w:type="dxa"/>
              <w:left w:w="80" w:type="dxa"/>
              <w:bottom w:w="80" w:type="dxa"/>
              <w:right w:w="80" w:type="dxa"/>
            </w:tcMar>
          </w:tcPr>
          <w:p w:rsidR="00967DD9" w:rsidRPr="00AF5056" w:rsidRDefault="00967DD9" w:rsidP="00B17665">
            <w:pPr>
              <w:pStyle w:val="TaxBody"/>
              <w:rPr>
                <w:rFonts w:asciiTheme="majorHAnsi" w:hAnsiTheme="majorHAnsi" w:cstheme="majorHAnsi"/>
                <w:sz w:val="24"/>
                <w:szCs w:val="24"/>
              </w:rPr>
            </w:pPr>
            <w:r w:rsidRPr="00AF5056">
              <w:rPr>
                <w:rStyle w:val="Nemo"/>
                <w:rFonts w:asciiTheme="majorHAnsi" w:hAnsiTheme="majorHAnsi" w:cstheme="majorHAnsi"/>
                <w:sz w:val="24"/>
                <w:szCs w:val="24"/>
              </w:rPr>
              <w:t>£655</w:t>
            </w:r>
          </w:p>
        </w:tc>
      </w:tr>
    </w:tbl>
    <w:p w:rsidR="00967DD9" w:rsidRPr="00DA7C33" w:rsidRDefault="00967DD9" w:rsidP="00967DD9">
      <w:pPr>
        <w:pStyle w:val="Extrathings"/>
        <w:rPr>
          <w:rFonts w:asciiTheme="majorHAnsi" w:hAnsiTheme="majorHAnsi" w:cstheme="majorHAnsi"/>
          <w:sz w:val="16"/>
          <w:szCs w:val="16"/>
        </w:rPr>
      </w:pPr>
      <w:r w:rsidRPr="00DA7C33">
        <w:rPr>
          <w:rFonts w:asciiTheme="majorHAnsi" w:hAnsiTheme="majorHAnsi" w:cstheme="majorHAnsi"/>
          <w:sz w:val="16"/>
          <w:szCs w:val="16"/>
        </w:rPr>
        <w:t>*Applies where private use is more than home-to-work travel. Payments by employees for private use may reduce these benefits-in-kind. Zero-emission vans have a benefit value of £2,792 (2019/20, £2,058).</w:t>
      </w:r>
    </w:p>
    <w:p w:rsidR="00967DD9" w:rsidRPr="00C54564" w:rsidRDefault="00967DD9" w:rsidP="00967DD9">
      <w:pPr>
        <w:pStyle w:val="Extrathings"/>
        <w:rPr>
          <w:rFonts w:asciiTheme="majorHAnsi" w:hAnsiTheme="majorHAnsi" w:cstheme="majorHAnsi"/>
        </w:rPr>
      </w:pPr>
    </w:p>
    <w:p w:rsidR="00967DD9" w:rsidRPr="00C54564" w:rsidRDefault="00967DD9" w:rsidP="00967DD9">
      <w:pPr>
        <w:pStyle w:val="Heading1"/>
        <w:rPr>
          <w:color w:val="D80000"/>
        </w:rPr>
      </w:pPr>
      <w:r>
        <w:t>Tax-free mileage allowances</w:t>
      </w:r>
    </w:p>
    <w:tbl>
      <w:tblPr>
        <w:tblW w:w="5000" w:type="pct"/>
        <w:tblCellMar>
          <w:left w:w="0" w:type="dxa"/>
          <w:right w:w="0" w:type="dxa"/>
        </w:tblCellMar>
        <w:tblLook w:val="0000" w:firstRow="0" w:lastRow="0" w:firstColumn="0" w:lastColumn="0" w:noHBand="0" w:noVBand="0"/>
      </w:tblPr>
      <w:tblGrid>
        <w:gridCol w:w="3576"/>
        <w:gridCol w:w="4985"/>
        <w:gridCol w:w="1895"/>
      </w:tblGrid>
      <w:tr w:rsidR="00967DD9" w:rsidRPr="00C54564" w:rsidTr="00967DD9">
        <w:trPr>
          <w:trHeight w:val="20"/>
        </w:trPr>
        <w:tc>
          <w:tcPr>
            <w:tcW w:w="171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rsidR="00967DD9" w:rsidRPr="00AF5056" w:rsidRDefault="00EA7F39" w:rsidP="00B17665">
            <w:pPr>
              <w:pStyle w:val="TaxBody"/>
              <w:rPr>
                <w:rFonts w:asciiTheme="majorHAnsi" w:hAnsiTheme="majorHAnsi" w:cstheme="majorHAnsi"/>
                <w:sz w:val="24"/>
              </w:rPr>
            </w:pPr>
            <w:r>
              <w:rPr>
                <w:rFonts w:asciiTheme="majorHAnsi" w:hAnsiTheme="majorHAnsi" w:cstheme="majorHAnsi"/>
                <w:b/>
                <w:bCs/>
                <w:sz w:val="24"/>
              </w:rPr>
              <w:t>Cars and vans, including</w:t>
            </w:r>
            <w:r w:rsidR="00967DD9" w:rsidRPr="00AF5056">
              <w:rPr>
                <w:rFonts w:asciiTheme="majorHAnsi" w:hAnsiTheme="majorHAnsi" w:cstheme="majorHAnsi"/>
                <w:b/>
                <w:bCs/>
                <w:sz w:val="24"/>
              </w:rPr>
              <w:t xml:space="preserve"> electric vehicles</w:t>
            </w:r>
          </w:p>
        </w:tc>
        <w:tc>
          <w:tcPr>
            <w:tcW w:w="2384"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w w:val="95"/>
                <w:sz w:val="24"/>
              </w:rPr>
              <w:t xml:space="preserve">First 10,000 business miles </w:t>
            </w:r>
          </w:p>
        </w:tc>
        <w:tc>
          <w:tcPr>
            <w:tcW w:w="906"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45p</w:t>
            </w:r>
          </w:p>
        </w:tc>
      </w:tr>
      <w:tr w:rsidR="00967DD9" w:rsidRPr="00C54564" w:rsidTr="00967DD9">
        <w:trPr>
          <w:trHeight w:val="20"/>
        </w:trPr>
        <w:tc>
          <w:tcPr>
            <w:tcW w:w="17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2384"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w w:val="95"/>
                <w:sz w:val="24"/>
              </w:rPr>
              <w:t>Thereafter</w:t>
            </w:r>
          </w:p>
        </w:tc>
        <w:tc>
          <w:tcPr>
            <w:tcW w:w="906"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25p</w:t>
            </w:r>
          </w:p>
        </w:tc>
      </w:tr>
      <w:tr w:rsidR="00967DD9" w:rsidRPr="00C54564" w:rsidTr="00967DD9">
        <w:trPr>
          <w:trHeight w:val="20"/>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b/>
                <w:bCs/>
                <w:sz w:val="24"/>
              </w:rPr>
              <w:t>Motorcycles</w:t>
            </w:r>
          </w:p>
        </w:tc>
        <w:tc>
          <w:tcPr>
            <w:tcW w:w="3290"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24p</w:t>
            </w:r>
          </w:p>
        </w:tc>
      </w:tr>
      <w:tr w:rsidR="00967DD9" w:rsidRPr="00C54564" w:rsidTr="00967DD9">
        <w:trPr>
          <w:trHeight w:val="20"/>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b/>
                <w:bCs/>
                <w:sz w:val="24"/>
              </w:rPr>
              <w:t>Bicycles</w:t>
            </w:r>
          </w:p>
        </w:tc>
        <w:tc>
          <w:tcPr>
            <w:tcW w:w="3290"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20p</w:t>
            </w:r>
          </w:p>
        </w:tc>
      </w:tr>
      <w:tr w:rsidR="00967DD9" w:rsidRPr="00C54564" w:rsidTr="00967DD9">
        <w:trPr>
          <w:trHeight w:val="20"/>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b/>
                <w:bCs/>
                <w:sz w:val="24"/>
              </w:rPr>
              <w:t>Business passenger</w:t>
            </w:r>
          </w:p>
        </w:tc>
        <w:tc>
          <w:tcPr>
            <w:tcW w:w="3290"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5p</w:t>
            </w:r>
          </w:p>
        </w:tc>
      </w:tr>
    </w:tbl>
    <w:p w:rsidR="00967DD9" w:rsidRPr="00967DD9" w:rsidRDefault="00967DD9" w:rsidP="00967DD9">
      <w:pPr>
        <w:pStyle w:val="BigHeading"/>
        <w:spacing w:line="240" w:lineRule="auto"/>
        <w:rPr>
          <w:rFonts w:asciiTheme="majorHAnsi" w:hAnsiTheme="majorHAnsi" w:cstheme="majorHAnsi"/>
          <w:b w:val="0"/>
          <w:bCs w:val="0"/>
          <w:caps w:val="0"/>
          <w:color w:val="0A2B2D"/>
          <w:sz w:val="22"/>
          <w:szCs w:val="10"/>
        </w:rPr>
      </w:pPr>
      <w:r w:rsidRPr="00967DD9">
        <w:rPr>
          <w:rFonts w:asciiTheme="majorHAnsi" w:hAnsiTheme="majorHAnsi" w:cstheme="majorHAnsi"/>
          <w:b w:val="0"/>
          <w:bCs w:val="0"/>
          <w:caps w:val="0"/>
          <w:color w:val="0A2B2D"/>
          <w:sz w:val="22"/>
          <w:szCs w:val="10"/>
        </w:rPr>
        <w:t xml:space="preserve">The tax-free business mileage allowance rates apply for qualifying business journeys incurred by employees using their own vehicles over the course of the tax year. </w:t>
      </w:r>
    </w:p>
    <w:p w:rsidR="00967DD9" w:rsidRPr="00967DD9" w:rsidRDefault="00967DD9" w:rsidP="00967DD9">
      <w:pPr>
        <w:pStyle w:val="Extrathings"/>
        <w:spacing w:line="240" w:lineRule="auto"/>
        <w:rPr>
          <w:rFonts w:asciiTheme="majorHAnsi" w:hAnsiTheme="majorHAnsi" w:cstheme="majorHAnsi"/>
          <w:sz w:val="22"/>
        </w:rPr>
      </w:pPr>
    </w:p>
    <w:p w:rsidR="00967DD9" w:rsidRPr="00967DD9" w:rsidRDefault="00967DD9" w:rsidP="00967DD9">
      <w:pPr>
        <w:pStyle w:val="Extrathings"/>
        <w:spacing w:line="240" w:lineRule="auto"/>
        <w:rPr>
          <w:rFonts w:asciiTheme="majorHAnsi" w:hAnsiTheme="majorHAnsi" w:cstheme="majorHAnsi"/>
          <w:sz w:val="8"/>
        </w:rPr>
      </w:pPr>
      <w:r w:rsidRPr="00967DD9">
        <w:rPr>
          <w:rFonts w:asciiTheme="majorHAnsi" w:hAnsiTheme="majorHAnsi" w:cstheme="majorHAnsi"/>
          <w:sz w:val="22"/>
        </w:rPr>
        <w:t>For national insurance purposes, a 45p rate may apply for all business miles incurred by cars and vans.</w:t>
      </w:r>
      <w:r w:rsidRPr="00967DD9">
        <w:rPr>
          <w:rFonts w:asciiTheme="majorHAnsi" w:hAnsiTheme="majorHAnsi" w:cstheme="majorHAnsi"/>
          <w:sz w:val="16"/>
        </w:rPr>
        <w:br/>
      </w:r>
    </w:p>
    <w:p w:rsidR="00967DD9" w:rsidRPr="00C54564" w:rsidRDefault="00967DD9" w:rsidP="00967DD9">
      <w:pPr>
        <w:pStyle w:val="Heading1"/>
        <w:rPr>
          <w:color w:val="000000"/>
          <w:sz w:val="14"/>
          <w:szCs w:val="14"/>
        </w:rPr>
      </w:pPr>
      <w:r>
        <w:lastRenderedPageBreak/>
        <w:t>Capital gains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8"/>
        <w:gridCol w:w="4352"/>
        <w:gridCol w:w="1794"/>
        <w:gridCol w:w="1792"/>
      </w:tblGrid>
      <w:tr w:rsidR="00967DD9" w:rsidRPr="00C54564" w:rsidTr="00967DD9">
        <w:trPr>
          <w:trHeight w:val="20"/>
        </w:trPr>
        <w:tc>
          <w:tcPr>
            <w:tcW w:w="3285" w:type="pct"/>
            <w:gridSpan w:val="2"/>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858"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2020/21</w:t>
            </w:r>
          </w:p>
        </w:tc>
        <w:tc>
          <w:tcPr>
            <w:tcW w:w="857"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b/>
                <w:bCs/>
                <w:sz w:val="24"/>
              </w:rPr>
              <w:t>2019/20</w:t>
            </w:r>
          </w:p>
        </w:tc>
      </w:tr>
      <w:tr w:rsidR="00967DD9" w:rsidRPr="00C54564" w:rsidTr="00967DD9">
        <w:trPr>
          <w:trHeight w:val="20"/>
        </w:trPr>
        <w:tc>
          <w:tcPr>
            <w:tcW w:w="1204" w:type="pct"/>
            <w:vMerge w:val="restar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Main rates</w:t>
            </w: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Individual basic-rate</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w:t>
            </w:r>
          </w:p>
        </w:tc>
      </w:tr>
      <w:tr w:rsidR="00967DD9" w:rsidRPr="00C54564" w:rsidTr="00967DD9">
        <w:trPr>
          <w:trHeight w:val="20"/>
        </w:trPr>
        <w:tc>
          <w:tcPr>
            <w:tcW w:w="1204" w:type="pct"/>
            <w:vMerge/>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Individual over basic-rate</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20%</w:t>
            </w:r>
          </w:p>
        </w:tc>
      </w:tr>
      <w:tr w:rsidR="00967DD9" w:rsidRPr="00C54564" w:rsidTr="00967DD9">
        <w:trPr>
          <w:trHeight w:val="20"/>
        </w:trPr>
        <w:tc>
          <w:tcPr>
            <w:tcW w:w="1204" w:type="pct"/>
            <w:vMerge/>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Trusts and estates</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20%</w:t>
            </w:r>
          </w:p>
        </w:tc>
      </w:tr>
      <w:tr w:rsidR="00967DD9" w:rsidRPr="00C54564" w:rsidTr="00967DD9">
        <w:trPr>
          <w:trHeight w:val="20"/>
        </w:trPr>
        <w:tc>
          <w:tcPr>
            <w:tcW w:w="3285" w:type="pct"/>
            <w:gridSpan w:val="2"/>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pacing w:val="-4"/>
                <w:sz w:val="24"/>
              </w:rPr>
              <w:t xml:space="preserve">Surcharge – for gains on chargeable residential property </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8%</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8%</w:t>
            </w:r>
          </w:p>
        </w:tc>
      </w:tr>
      <w:tr w:rsidR="00967DD9" w:rsidRPr="00C54564" w:rsidTr="00967DD9">
        <w:trPr>
          <w:trHeight w:val="20"/>
        </w:trPr>
        <w:tc>
          <w:tcPr>
            <w:tcW w:w="1204" w:type="pct"/>
            <w:vMerge w:val="restar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Annual exemption</w:t>
            </w: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Individuals</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£12,300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£12,000</w:t>
            </w:r>
          </w:p>
        </w:tc>
      </w:tr>
      <w:tr w:rsidR="00967DD9" w:rsidRPr="00C54564" w:rsidTr="00967DD9">
        <w:trPr>
          <w:trHeight w:val="20"/>
        </w:trPr>
        <w:tc>
          <w:tcPr>
            <w:tcW w:w="1204" w:type="pct"/>
            <w:vMerge/>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Trusts</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£6,150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£6,000</w:t>
            </w:r>
          </w:p>
        </w:tc>
      </w:tr>
      <w:tr w:rsidR="00967DD9" w:rsidRPr="00C54564" w:rsidTr="00967DD9">
        <w:trPr>
          <w:trHeight w:val="20"/>
        </w:trPr>
        <w:tc>
          <w:tcPr>
            <w:tcW w:w="1204" w:type="pct"/>
            <w:vMerge w:val="restar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Entrepreneurs’ relief</w:t>
            </w: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Applicable rate</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w:t>
            </w:r>
          </w:p>
        </w:tc>
      </w:tr>
      <w:tr w:rsidR="00967DD9" w:rsidRPr="00C54564" w:rsidTr="00967DD9">
        <w:trPr>
          <w:trHeight w:val="20"/>
        </w:trPr>
        <w:tc>
          <w:tcPr>
            <w:tcW w:w="1204" w:type="pct"/>
            <w:vMerge/>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2081" w:type="pct"/>
            <w:shd w:val="solid" w:color="FFFFFF" w:fill="auto"/>
            <w:tcMar>
              <w:top w:w="0" w:type="dxa"/>
              <w:left w:w="85" w:type="dxa"/>
              <w:bottom w:w="0" w:type="dxa"/>
              <w:right w:w="85" w:type="dxa"/>
            </w:tcMar>
            <w:vAlign w:val="center"/>
          </w:tcPr>
          <w:p w:rsidR="00967DD9" w:rsidRPr="00AF5056" w:rsidRDefault="00967DD9" w:rsidP="00EA7F39">
            <w:pPr>
              <w:pStyle w:val="TaxBody"/>
              <w:rPr>
                <w:rFonts w:asciiTheme="majorHAnsi" w:hAnsiTheme="majorHAnsi" w:cstheme="majorHAnsi"/>
                <w:sz w:val="24"/>
              </w:rPr>
            </w:pPr>
            <w:r w:rsidRPr="00AF5056">
              <w:rPr>
                <w:rFonts w:asciiTheme="majorHAnsi" w:hAnsiTheme="majorHAnsi" w:cstheme="majorHAnsi"/>
                <w:sz w:val="24"/>
              </w:rPr>
              <w:t>Lifetime limit (from 11</w:t>
            </w:r>
            <w:r w:rsidR="00EA7F39">
              <w:rPr>
                <w:rFonts w:asciiTheme="majorHAnsi" w:hAnsiTheme="majorHAnsi" w:cstheme="majorHAnsi"/>
                <w:sz w:val="24"/>
              </w:rPr>
              <w:t xml:space="preserve"> March 20</w:t>
            </w:r>
            <w:r w:rsidRPr="00AF5056">
              <w:rPr>
                <w:rFonts w:asciiTheme="majorHAnsi" w:hAnsiTheme="majorHAnsi" w:cstheme="majorHAnsi"/>
                <w:sz w:val="24"/>
              </w:rPr>
              <w:t>20)</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£1m</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£10m</w:t>
            </w:r>
          </w:p>
        </w:tc>
      </w:tr>
      <w:tr w:rsidR="00967DD9" w:rsidRPr="00C54564" w:rsidTr="00967DD9">
        <w:trPr>
          <w:trHeight w:val="20"/>
        </w:trPr>
        <w:tc>
          <w:tcPr>
            <w:tcW w:w="1204" w:type="pct"/>
            <w:vMerge w:val="restar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Investors’ relief</w:t>
            </w: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Applicable rate</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w:t>
            </w:r>
          </w:p>
        </w:tc>
      </w:tr>
      <w:tr w:rsidR="00967DD9" w:rsidRPr="00C54564" w:rsidTr="00967DD9">
        <w:trPr>
          <w:trHeight w:val="20"/>
        </w:trPr>
        <w:tc>
          <w:tcPr>
            <w:tcW w:w="1204" w:type="pct"/>
            <w:vMerge/>
          </w:tcPr>
          <w:p w:rsidR="00967DD9" w:rsidRPr="00AF5056" w:rsidRDefault="00967DD9" w:rsidP="00B17665">
            <w:pPr>
              <w:pStyle w:val="NoParagraphStyle"/>
              <w:spacing w:line="240" w:lineRule="auto"/>
              <w:textAlignment w:val="auto"/>
              <w:rPr>
                <w:rFonts w:asciiTheme="majorHAnsi" w:hAnsiTheme="majorHAnsi" w:cstheme="majorHAnsi"/>
                <w:color w:val="auto"/>
                <w:sz w:val="24"/>
              </w:rPr>
            </w:pPr>
          </w:p>
        </w:tc>
        <w:tc>
          <w:tcPr>
            <w:tcW w:w="208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rPr>
            </w:pPr>
            <w:r w:rsidRPr="00AF5056">
              <w:rPr>
                <w:rFonts w:asciiTheme="majorHAnsi" w:hAnsiTheme="majorHAnsi" w:cstheme="majorHAnsi"/>
                <w:sz w:val="24"/>
              </w:rPr>
              <w:t>Lifetime limit</w:t>
            </w:r>
          </w:p>
        </w:tc>
        <w:tc>
          <w:tcPr>
            <w:tcW w:w="85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£10m</w:t>
            </w:r>
          </w:p>
        </w:tc>
        <w:tc>
          <w:tcPr>
            <w:tcW w:w="857"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rPr>
            </w:pPr>
            <w:r w:rsidRPr="00AF5056">
              <w:rPr>
                <w:rFonts w:asciiTheme="majorHAnsi" w:hAnsiTheme="majorHAnsi" w:cstheme="majorHAnsi"/>
                <w:sz w:val="24"/>
              </w:rPr>
              <w:t>£10m</w:t>
            </w:r>
          </w:p>
        </w:tc>
      </w:tr>
    </w:tbl>
    <w:p w:rsidR="00967DD9" w:rsidRPr="00DA7C33" w:rsidRDefault="00967DD9" w:rsidP="00967DD9">
      <w:pPr>
        <w:pStyle w:val="Heading1"/>
      </w:pPr>
      <w:r>
        <w:t>Inheritance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8"/>
        <w:gridCol w:w="2093"/>
        <w:gridCol w:w="2095"/>
      </w:tblGrid>
      <w:tr w:rsidR="00967DD9" w:rsidRPr="00AF5056" w:rsidTr="00967DD9">
        <w:trPr>
          <w:trHeight w:val="20"/>
        </w:trPr>
        <w:tc>
          <w:tcPr>
            <w:tcW w:w="2997"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NoParagraphStyle"/>
              <w:spacing w:line="240" w:lineRule="auto"/>
              <w:textAlignment w:val="auto"/>
              <w:rPr>
                <w:rFonts w:asciiTheme="majorHAnsi" w:hAnsiTheme="majorHAnsi" w:cstheme="majorHAnsi"/>
                <w:color w:val="auto"/>
                <w:sz w:val="24"/>
                <w:szCs w:val="24"/>
              </w:rPr>
            </w:pPr>
          </w:p>
        </w:tc>
        <w:tc>
          <w:tcPr>
            <w:tcW w:w="1001"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2020/21</w:t>
            </w:r>
          </w:p>
        </w:tc>
        <w:tc>
          <w:tcPr>
            <w:tcW w:w="1002"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2019/20</w:t>
            </w:r>
          </w:p>
        </w:tc>
      </w:tr>
      <w:tr w:rsidR="00967DD9" w:rsidRPr="00AF5056" w:rsidTr="00967DD9">
        <w:trPr>
          <w:trHeight w:val="20"/>
        </w:trPr>
        <w:tc>
          <w:tcPr>
            <w:tcW w:w="2997"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Nil-rate band threshold*</w:t>
            </w:r>
          </w:p>
        </w:tc>
        <w:tc>
          <w:tcPr>
            <w:tcW w:w="100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£325,000</w:t>
            </w:r>
          </w:p>
        </w:tc>
        <w:tc>
          <w:tcPr>
            <w:tcW w:w="1002"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£325,000</w:t>
            </w:r>
          </w:p>
        </w:tc>
      </w:tr>
      <w:tr w:rsidR="00967DD9" w:rsidRPr="00AF5056" w:rsidTr="00967DD9">
        <w:trPr>
          <w:trHeight w:val="20"/>
        </w:trPr>
        <w:tc>
          <w:tcPr>
            <w:tcW w:w="2997"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Main residence nil-rate band**</w:t>
            </w:r>
          </w:p>
        </w:tc>
        <w:tc>
          <w:tcPr>
            <w:tcW w:w="100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£175,000</w:t>
            </w:r>
          </w:p>
        </w:tc>
        <w:tc>
          <w:tcPr>
            <w:tcW w:w="1002"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£150,000</w:t>
            </w:r>
          </w:p>
        </w:tc>
      </w:tr>
      <w:tr w:rsidR="00967DD9" w:rsidRPr="00AF5056" w:rsidTr="00967DD9">
        <w:trPr>
          <w:trHeight w:val="20"/>
        </w:trPr>
        <w:tc>
          <w:tcPr>
            <w:tcW w:w="2997"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Combined threshold limit for married couples and civil partners, including main residence nil-rate band</w:t>
            </w:r>
          </w:p>
        </w:tc>
        <w:tc>
          <w:tcPr>
            <w:tcW w:w="100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£1m</w:t>
            </w:r>
          </w:p>
        </w:tc>
        <w:tc>
          <w:tcPr>
            <w:tcW w:w="1002"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£950,000</w:t>
            </w:r>
          </w:p>
        </w:tc>
      </w:tr>
      <w:tr w:rsidR="00967DD9" w:rsidRPr="00AF5056" w:rsidTr="00967DD9">
        <w:trPr>
          <w:trHeight w:val="20"/>
        </w:trPr>
        <w:tc>
          <w:tcPr>
            <w:tcW w:w="2997"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Business property relief and agricultural property relief</w:t>
            </w:r>
          </w:p>
        </w:tc>
        <w:tc>
          <w:tcPr>
            <w:tcW w:w="100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50% or 100%</w:t>
            </w:r>
          </w:p>
        </w:tc>
        <w:tc>
          <w:tcPr>
            <w:tcW w:w="1002"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50% or 100%</w:t>
            </w:r>
          </w:p>
        </w:tc>
      </w:tr>
    </w:tbl>
    <w:p w:rsidR="00967DD9" w:rsidRPr="00DA7C33" w:rsidRDefault="00967DD9" w:rsidP="00967DD9">
      <w:pPr>
        <w:pStyle w:val="Extrathings"/>
        <w:rPr>
          <w:rFonts w:asciiTheme="majorHAnsi" w:hAnsiTheme="majorHAnsi" w:cstheme="majorHAnsi"/>
          <w:sz w:val="16"/>
          <w:szCs w:val="16"/>
        </w:rPr>
      </w:pPr>
      <w:r w:rsidRPr="00DA7C33">
        <w:rPr>
          <w:rFonts w:asciiTheme="majorHAnsi" w:hAnsiTheme="majorHAnsi" w:cstheme="majorHAnsi"/>
          <w:sz w:val="16"/>
          <w:szCs w:val="16"/>
        </w:rPr>
        <w:t>* Up to 100% of any unused part of a deceased person’s nil-rate band can be claimed by the surviving spouse/civil partner on their death. This also applies to the main residence nil-rate band, albeit the main residence nil-rate is subject to the taper withdrawal below.</w:t>
      </w:r>
    </w:p>
    <w:p w:rsidR="00967DD9" w:rsidRPr="00DA7C33" w:rsidRDefault="00967DD9" w:rsidP="00967DD9">
      <w:pPr>
        <w:pStyle w:val="Extrathings"/>
        <w:rPr>
          <w:rFonts w:asciiTheme="majorHAnsi" w:hAnsiTheme="majorHAnsi" w:cstheme="majorHAnsi"/>
          <w:sz w:val="16"/>
          <w:szCs w:val="16"/>
        </w:rPr>
      </w:pPr>
      <w:r w:rsidRPr="00DA7C33">
        <w:rPr>
          <w:rFonts w:asciiTheme="majorHAnsi" w:hAnsiTheme="majorHAnsi" w:cstheme="majorHAnsi"/>
          <w:sz w:val="16"/>
          <w:szCs w:val="16"/>
        </w:rPr>
        <w:t xml:space="preserve"> ** For estates in excess of £2m, a 50% taper withdrawal applies to the excess.</w:t>
      </w:r>
    </w:p>
    <w:p w:rsidR="00967DD9" w:rsidRPr="00AF5056" w:rsidRDefault="00967DD9" w:rsidP="00967DD9">
      <w:pPr>
        <w:pStyle w:val="Heading2"/>
      </w:pPr>
      <w:r w:rsidRPr="00AF5056">
        <w:t>Tax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2"/>
        <w:gridCol w:w="2227"/>
        <w:gridCol w:w="2227"/>
      </w:tblGrid>
      <w:tr w:rsidR="00967DD9" w:rsidRPr="00AF5056" w:rsidTr="00967DD9">
        <w:trPr>
          <w:trHeight w:val="20"/>
        </w:trPr>
        <w:tc>
          <w:tcPr>
            <w:tcW w:w="287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NoParagraphStyle"/>
              <w:spacing w:line="240" w:lineRule="auto"/>
              <w:textAlignment w:val="auto"/>
              <w:rPr>
                <w:rFonts w:asciiTheme="majorHAnsi" w:hAnsiTheme="majorHAnsi" w:cstheme="majorHAnsi"/>
                <w:color w:val="auto"/>
                <w:sz w:val="24"/>
                <w:szCs w:val="24"/>
              </w:rPr>
            </w:pPr>
          </w:p>
        </w:tc>
        <w:tc>
          <w:tcPr>
            <w:tcW w:w="1065"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2020/21</w:t>
            </w:r>
          </w:p>
        </w:tc>
        <w:tc>
          <w:tcPr>
            <w:tcW w:w="1065"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2019/20</w:t>
            </w:r>
          </w:p>
        </w:tc>
      </w:tr>
      <w:tr w:rsidR="00967DD9" w:rsidRPr="00AF5056" w:rsidTr="00967DD9">
        <w:trPr>
          <w:trHeight w:val="20"/>
        </w:trPr>
        <w:tc>
          <w:tcPr>
            <w:tcW w:w="2870"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Main rate</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40%</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40%</w:t>
            </w:r>
          </w:p>
        </w:tc>
      </w:tr>
      <w:tr w:rsidR="00967DD9" w:rsidRPr="00AF5056" w:rsidTr="00967DD9">
        <w:trPr>
          <w:trHeight w:val="20"/>
        </w:trPr>
        <w:tc>
          <w:tcPr>
            <w:tcW w:w="2870"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Chargeable on lifetime transfers</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r>
      <w:tr w:rsidR="00967DD9" w:rsidRPr="00AF5056" w:rsidTr="00967DD9">
        <w:trPr>
          <w:trHeight w:val="20"/>
        </w:trPr>
        <w:tc>
          <w:tcPr>
            <w:tcW w:w="2870"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pacing w:val="-4"/>
                <w:sz w:val="24"/>
                <w:szCs w:val="24"/>
              </w:rPr>
              <w:t>Transfers on or within seven years of death*</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40%</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40%</w:t>
            </w:r>
          </w:p>
        </w:tc>
      </w:tr>
      <w:tr w:rsidR="00967DD9" w:rsidRPr="00AF5056" w:rsidTr="00967DD9">
        <w:trPr>
          <w:trHeight w:val="20"/>
        </w:trPr>
        <w:tc>
          <w:tcPr>
            <w:tcW w:w="2870"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Reduced rate**</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36%</w:t>
            </w:r>
          </w:p>
        </w:tc>
        <w:tc>
          <w:tcPr>
            <w:tcW w:w="1065"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36%</w:t>
            </w:r>
          </w:p>
        </w:tc>
      </w:tr>
    </w:tbl>
    <w:p w:rsidR="00967DD9" w:rsidRPr="00DA7C33" w:rsidRDefault="00967DD9" w:rsidP="00967DD9">
      <w:pPr>
        <w:pStyle w:val="Extrathings"/>
        <w:rPr>
          <w:rFonts w:asciiTheme="majorHAnsi" w:hAnsiTheme="majorHAnsi" w:cstheme="majorHAnsi"/>
          <w:sz w:val="16"/>
          <w:szCs w:val="16"/>
        </w:rPr>
      </w:pPr>
      <w:r w:rsidRPr="00DA7C33">
        <w:rPr>
          <w:rFonts w:asciiTheme="majorHAnsi" w:hAnsiTheme="majorHAnsi" w:cstheme="majorHAnsi"/>
          <w:sz w:val="16"/>
          <w:szCs w:val="16"/>
        </w:rPr>
        <w:t>* All lifetime transfers not covered by exemptions and made within seven years of death will be added back into the estate for the purposes of calculating the tax payable. This may then be reduced as shown in the table below.</w:t>
      </w:r>
    </w:p>
    <w:p w:rsidR="00967DD9" w:rsidRDefault="00967DD9" w:rsidP="00967DD9">
      <w:pPr>
        <w:pStyle w:val="Extrathings"/>
        <w:rPr>
          <w:rFonts w:asciiTheme="majorHAnsi" w:hAnsiTheme="majorHAnsi" w:cstheme="majorHAnsi"/>
          <w:spacing w:val="-1"/>
          <w:sz w:val="16"/>
          <w:szCs w:val="16"/>
        </w:rPr>
      </w:pPr>
      <w:r w:rsidRPr="00DA7C33">
        <w:rPr>
          <w:rFonts w:asciiTheme="majorHAnsi" w:hAnsiTheme="majorHAnsi" w:cstheme="majorHAnsi"/>
          <w:spacing w:val="-1"/>
          <w:sz w:val="16"/>
          <w:szCs w:val="16"/>
        </w:rPr>
        <w:t>** Applies if 10% or more of net chargeable estate is left to certain registered charities.</w:t>
      </w:r>
    </w:p>
    <w:p w:rsidR="00967DD9" w:rsidRPr="00DA7C33" w:rsidRDefault="00967DD9" w:rsidP="00967DD9">
      <w:pPr>
        <w:pStyle w:val="Extrathings"/>
        <w:rPr>
          <w:rFonts w:asciiTheme="majorHAnsi" w:hAnsiTheme="majorHAnsi" w:cstheme="majorHAnsi"/>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3"/>
        <w:gridCol w:w="1485"/>
        <w:gridCol w:w="1485"/>
        <w:gridCol w:w="1485"/>
        <w:gridCol w:w="1483"/>
        <w:gridCol w:w="1485"/>
      </w:tblGrid>
      <w:tr w:rsidR="00967DD9" w:rsidRPr="00AF5056" w:rsidTr="00967DD9">
        <w:trPr>
          <w:trHeight w:val="20"/>
        </w:trPr>
        <w:tc>
          <w:tcPr>
            <w:tcW w:w="1451"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b/>
                <w:bCs/>
                <w:spacing w:val="-2"/>
                <w:sz w:val="24"/>
                <w:szCs w:val="24"/>
              </w:rPr>
              <w:t>Years before death</w:t>
            </w:r>
          </w:p>
        </w:tc>
        <w:tc>
          <w:tcPr>
            <w:tcW w:w="71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0 – 3</w:t>
            </w:r>
          </w:p>
        </w:tc>
        <w:tc>
          <w:tcPr>
            <w:tcW w:w="71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3 – 4</w:t>
            </w:r>
          </w:p>
        </w:tc>
        <w:tc>
          <w:tcPr>
            <w:tcW w:w="71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4 – 5</w:t>
            </w:r>
          </w:p>
        </w:tc>
        <w:tc>
          <w:tcPr>
            <w:tcW w:w="709"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5 – 6</w:t>
            </w:r>
          </w:p>
        </w:tc>
        <w:tc>
          <w:tcPr>
            <w:tcW w:w="710"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6 – 7</w:t>
            </w:r>
          </w:p>
        </w:tc>
      </w:tr>
      <w:tr w:rsidR="00967DD9" w:rsidRPr="00AF5056" w:rsidTr="00967DD9">
        <w:trPr>
          <w:trHeight w:val="20"/>
        </w:trPr>
        <w:tc>
          <w:tcPr>
            <w:tcW w:w="1451"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Tax reduced by</w:t>
            </w:r>
          </w:p>
        </w:tc>
        <w:tc>
          <w:tcPr>
            <w:tcW w:w="71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0%</w:t>
            </w:r>
          </w:p>
        </w:tc>
        <w:tc>
          <w:tcPr>
            <w:tcW w:w="71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c>
          <w:tcPr>
            <w:tcW w:w="71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40%</w:t>
            </w:r>
          </w:p>
        </w:tc>
        <w:tc>
          <w:tcPr>
            <w:tcW w:w="709"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60%</w:t>
            </w:r>
          </w:p>
        </w:tc>
        <w:tc>
          <w:tcPr>
            <w:tcW w:w="710"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80%</w:t>
            </w:r>
          </w:p>
        </w:tc>
      </w:tr>
    </w:tbl>
    <w:p w:rsidR="00967DD9" w:rsidRPr="00AF5056" w:rsidRDefault="00967DD9" w:rsidP="00967DD9">
      <w:pPr>
        <w:pStyle w:val="Heading1"/>
      </w:pPr>
      <w:r w:rsidRPr="00AF5056">
        <w:t xml:space="preserve">UK </w:t>
      </w:r>
      <w:r>
        <w:t>company 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4"/>
        <w:gridCol w:w="2526"/>
        <w:gridCol w:w="2526"/>
      </w:tblGrid>
      <w:tr w:rsidR="00967DD9" w:rsidRPr="00AF5056" w:rsidTr="00967DD9">
        <w:trPr>
          <w:trHeight w:val="20"/>
        </w:trPr>
        <w:tc>
          <w:tcPr>
            <w:tcW w:w="2584"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b/>
                <w:bCs/>
                <w:sz w:val="24"/>
                <w:szCs w:val="24"/>
              </w:rPr>
              <w:t>Financial year from 1 April</w:t>
            </w:r>
          </w:p>
        </w:tc>
        <w:tc>
          <w:tcPr>
            <w:tcW w:w="1208"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2020</w:t>
            </w:r>
          </w:p>
        </w:tc>
        <w:tc>
          <w:tcPr>
            <w:tcW w:w="1208" w:type="pct"/>
            <w:shd w:val="clear" w:color="auto" w:fill="D9D9D9" w:themeFill="background1" w:themeFillShade="D9"/>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2019</w:t>
            </w:r>
          </w:p>
        </w:tc>
      </w:tr>
      <w:tr w:rsidR="00967DD9" w:rsidRPr="00AF5056" w:rsidTr="00967DD9">
        <w:trPr>
          <w:trHeight w:val="20"/>
        </w:trPr>
        <w:tc>
          <w:tcPr>
            <w:tcW w:w="2584"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 xml:space="preserve">Corporation tax main rate </w:t>
            </w:r>
          </w:p>
        </w:tc>
        <w:tc>
          <w:tcPr>
            <w:tcW w:w="120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19%</w:t>
            </w:r>
          </w:p>
        </w:tc>
        <w:tc>
          <w:tcPr>
            <w:tcW w:w="120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19%</w:t>
            </w:r>
          </w:p>
        </w:tc>
      </w:tr>
      <w:tr w:rsidR="00967DD9" w:rsidRPr="00AF5056" w:rsidTr="00967DD9">
        <w:trPr>
          <w:trHeight w:val="20"/>
        </w:trPr>
        <w:tc>
          <w:tcPr>
            <w:tcW w:w="2584"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Loans to participators</w:t>
            </w:r>
          </w:p>
        </w:tc>
        <w:tc>
          <w:tcPr>
            <w:tcW w:w="120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32.5%</w:t>
            </w:r>
          </w:p>
        </w:tc>
        <w:tc>
          <w:tcPr>
            <w:tcW w:w="120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32.5%</w:t>
            </w:r>
          </w:p>
        </w:tc>
      </w:tr>
      <w:tr w:rsidR="00967DD9" w:rsidRPr="00AF5056" w:rsidTr="00967DD9">
        <w:trPr>
          <w:trHeight w:val="20"/>
        </w:trPr>
        <w:tc>
          <w:tcPr>
            <w:tcW w:w="2584"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Diverted profits tax</w:t>
            </w:r>
          </w:p>
        </w:tc>
        <w:tc>
          <w:tcPr>
            <w:tcW w:w="120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25%</w:t>
            </w:r>
          </w:p>
        </w:tc>
        <w:tc>
          <w:tcPr>
            <w:tcW w:w="1208"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25%</w:t>
            </w:r>
          </w:p>
        </w:tc>
      </w:tr>
    </w:tbl>
    <w:p w:rsidR="00967DD9" w:rsidRPr="00DA7C33" w:rsidRDefault="00967DD9" w:rsidP="00967DD9">
      <w:pPr>
        <w:pStyle w:val="Heading1"/>
      </w:pPr>
      <w:r>
        <w:lastRenderedPageBreak/>
        <w:t>Main capital allowances</w:t>
      </w:r>
    </w:p>
    <w:p w:rsidR="00967DD9" w:rsidRPr="00AF5056" w:rsidRDefault="00967DD9" w:rsidP="00967DD9">
      <w:pPr>
        <w:pStyle w:val="Heading2"/>
      </w:pPr>
      <w:r w:rsidRPr="00AF5056">
        <w:t>Initial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38"/>
        <w:gridCol w:w="2518"/>
      </w:tblGrid>
      <w:tr w:rsidR="00967DD9" w:rsidRPr="00AF5056" w:rsidTr="00967DD9">
        <w:trPr>
          <w:trHeight w:val="20"/>
        </w:trPr>
        <w:tc>
          <w:tcPr>
            <w:tcW w:w="3796"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 xml:space="preserve">Annual investment allowance: </w:t>
            </w:r>
            <w:r w:rsidRPr="00AF5056">
              <w:rPr>
                <w:rFonts w:asciiTheme="majorHAnsi" w:hAnsiTheme="majorHAnsi" w:cstheme="majorHAnsi"/>
                <w:sz w:val="24"/>
                <w:szCs w:val="24"/>
              </w:rPr>
              <w:br/>
              <w:t>on first £1m (excludes cars)*</w:t>
            </w:r>
          </w:p>
        </w:tc>
        <w:tc>
          <w:tcPr>
            <w:tcW w:w="1204"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100%</w:t>
            </w:r>
          </w:p>
        </w:tc>
      </w:tr>
      <w:tr w:rsidR="00967DD9" w:rsidRPr="00AF5056" w:rsidTr="00967DD9">
        <w:trPr>
          <w:trHeight w:val="20"/>
        </w:trPr>
        <w:tc>
          <w:tcPr>
            <w:tcW w:w="3796" w:type="pct"/>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pacing w:val="-2"/>
                <w:sz w:val="24"/>
                <w:szCs w:val="24"/>
              </w:rPr>
              <w:t xml:space="preserve">First-year allowance: </w:t>
            </w:r>
            <w:r w:rsidRPr="00AF5056">
              <w:rPr>
                <w:rFonts w:asciiTheme="majorHAnsi" w:hAnsiTheme="majorHAnsi" w:cstheme="majorHAnsi"/>
                <w:spacing w:val="-2"/>
                <w:sz w:val="24"/>
                <w:szCs w:val="24"/>
              </w:rPr>
              <w:br/>
              <w:t xml:space="preserve">including new and unused low </w:t>
            </w:r>
            <w:r w:rsidRPr="00AF5056">
              <w:rPr>
                <w:rFonts w:asciiTheme="majorHAnsi" w:hAnsiTheme="majorHAnsi" w:cstheme="majorHAnsi"/>
                <w:sz w:val="24"/>
                <w:szCs w:val="24"/>
              </w:rPr>
              <w:t>CO</w:t>
            </w:r>
            <w:r w:rsidRPr="00AF5056">
              <w:rPr>
                <w:rFonts w:asciiTheme="majorHAnsi" w:hAnsiTheme="majorHAnsi" w:cstheme="majorHAnsi"/>
                <w:position w:val="4"/>
                <w:sz w:val="24"/>
                <w:szCs w:val="24"/>
                <w:vertAlign w:val="subscript"/>
              </w:rPr>
              <w:t>2</w:t>
            </w:r>
            <w:r w:rsidRPr="00AF5056">
              <w:rPr>
                <w:rFonts w:asciiTheme="majorHAnsi" w:hAnsiTheme="majorHAnsi" w:cstheme="majorHAnsi"/>
                <w:spacing w:val="-2"/>
                <w:sz w:val="24"/>
                <w:szCs w:val="24"/>
              </w:rPr>
              <w:t xml:space="preserve"> emission cars (up to 50g/km) and zero-emission vehicles</w:t>
            </w:r>
          </w:p>
        </w:tc>
        <w:tc>
          <w:tcPr>
            <w:tcW w:w="1204" w:type="pct"/>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100%</w:t>
            </w:r>
          </w:p>
        </w:tc>
      </w:tr>
    </w:tbl>
    <w:p w:rsidR="00967DD9" w:rsidRPr="00DA7C33" w:rsidRDefault="00967DD9" w:rsidP="00967DD9">
      <w:pPr>
        <w:pStyle w:val="BigHeading"/>
        <w:spacing w:line="240" w:lineRule="auto"/>
        <w:rPr>
          <w:rFonts w:asciiTheme="majorHAnsi" w:hAnsiTheme="majorHAnsi" w:cstheme="majorHAnsi"/>
          <w:b w:val="0"/>
          <w:bCs w:val="0"/>
          <w:caps w:val="0"/>
          <w:color w:val="0A2B2D"/>
          <w:sz w:val="16"/>
          <w:szCs w:val="24"/>
        </w:rPr>
      </w:pPr>
      <w:r w:rsidRPr="00DA7C33">
        <w:rPr>
          <w:rFonts w:asciiTheme="majorHAnsi" w:hAnsiTheme="majorHAnsi" w:cstheme="majorHAnsi"/>
          <w:b w:val="0"/>
          <w:bCs w:val="0"/>
          <w:caps w:val="0"/>
          <w:color w:val="0A2B2D"/>
          <w:sz w:val="16"/>
          <w:szCs w:val="24"/>
        </w:rPr>
        <w:t>* Applies from 1 January 2019 to 31 December 2020, reverting to £200,000 from 1 January 2021. Transitional rules may apply for chargeable periods spanning these dates.</w:t>
      </w:r>
    </w:p>
    <w:p w:rsidR="00967DD9" w:rsidRPr="00AF5056" w:rsidRDefault="00967DD9" w:rsidP="00967DD9">
      <w:pPr>
        <w:pStyle w:val="Heading2"/>
      </w:pPr>
      <w:r w:rsidRPr="00AF5056">
        <w:t>Writing-down allowances</w:t>
      </w:r>
    </w:p>
    <w:tbl>
      <w:tblPr>
        <w:tblW w:w="5000" w:type="pct"/>
        <w:tblCellMar>
          <w:left w:w="0" w:type="dxa"/>
          <w:right w:w="0" w:type="dxa"/>
        </w:tblCellMar>
        <w:tblLook w:val="0000" w:firstRow="0" w:lastRow="0" w:firstColumn="0" w:lastColumn="0" w:noHBand="0" w:noVBand="0"/>
      </w:tblPr>
      <w:tblGrid>
        <w:gridCol w:w="2844"/>
        <w:gridCol w:w="5205"/>
        <w:gridCol w:w="2407"/>
      </w:tblGrid>
      <w:tr w:rsidR="00967DD9" w:rsidRPr="00AF5056" w:rsidTr="00967DD9">
        <w:trPr>
          <w:trHeight w:val="20"/>
        </w:trPr>
        <w:tc>
          <w:tcPr>
            <w:tcW w:w="3849"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Plant and machinery main-rate expenditure</w:t>
            </w:r>
          </w:p>
        </w:tc>
        <w:tc>
          <w:tcPr>
            <w:tcW w:w="1151"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 xml:space="preserve">18% </w:t>
            </w:r>
          </w:p>
        </w:tc>
      </w:tr>
      <w:tr w:rsidR="00967DD9" w:rsidRPr="00AF5056" w:rsidTr="00967DD9">
        <w:trPr>
          <w:trHeight w:val="20"/>
        </w:trPr>
        <w:tc>
          <w:tcPr>
            <w:tcW w:w="3849"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Plant and machinery special-rate expenditure</w:t>
            </w:r>
          </w:p>
        </w:tc>
        <w:tc>
          <w:tcPr>
            <w:tcW w:w="1151"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 xml:space="preserve">6% </w:t>
            </w:r>
          </w:p>
        </w:tc>
      </w:tr>
      <w:tr w:rsidR="00967DD9" w:rsidRPr="00AF5056" w:rsidTr="00967DD9">
        <w:trPr>
          <w:trHeight w:val="20"/>
        </w:trPr>
        <w:tc>
          <w:tcPr>
            <w:tcW w:w="1360" w:type="pct"/>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Cars</w:t>
            </w:r>
          </w:p>
        </w:tc>
        <w:tc>
          <w:tcPr>
            <w:tcW w:w="248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51g/km – 110g/km</w:t>
            </w:r>
          </w:p>
        </w:tc>
        <w:tc>
          <w:tcPr>
            <w:tcW w:w="1151"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 xml:space="preserve">18% </w:t>
            </w:r>
          </w:p>
        </w:tc>
      </w:tr>
      <w:tr w:rsidR="00967DD9" w:rsidRPr="00AF5056" w:rsidTr="00967DD9">
        <w:trPr>
          <w:trHeight w:val="20"/>
        </w:trPr>
        <w:tc>
          <w:tcPr>
            <w:tcW w:w="1360" w:type="pct"/>
            <w:vMerge/>
            <w:tcBorders>
              <w:top w:val="single" w:sz="4" w:space="0" w:color="auto"/>
              <w:left w:val="single" w:sz="4" w:space="0" w:color="auto"/>
              <w:bottom w:val="single" w:sz="4" w:space="0" w:color="auto"/>
              <w:right w:val="single" w:sz="4" w:space="0" w:color="auto"/>
            </w:tcBorders>
          </w:tcPr>
          <w:p w:rsidR="00967DD9" w:rsidRPr="00AF5056" w:rsidRDefault="00967DD9" w:rsidP="00B17665">
            <w:pPr>
              <w:pStyle w:val="NoParagraphStyle"/>
              <w:spacing w:line="240" w:lineRule="auto"/>
              <w:textAlignment w:val="auto"/>
              <w:rPr>
                <w:rFonts w:asciiTheme="majorHAnsi" w:hAnsiTheme="majorHAnsi" w:cstheme="majorHAnsi"/>
                <w:color w:val="auto"/>
                <w:sz w:val="24"/>
                <w:szCs w:val="24"/>
              </w:rPr>
            </w:pPr>
          </w:p>
        </w:tc>
        <w:tc>
          <w:tcPr>
            <w:tcW w:w="248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Over 110g/km</w:t>
            </w:r>
          </w:p>
        </w:tc>
        <w:tc>
          <w:tcPr>
            <w:tcW w:w="1151"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 xml:space="preserve">6% </w:t>
            </w:r>
          </w:p>
        </w:tc>
      </w:tr>
      <w:tr w:rsidR="00967DD9" w:rsidRPr="00AF5056" w:rsidTr="00967DD9">
        <w:trPr>
          <w:trHeight w:val="20"/>
        </w:trPr>
        <w:tc>
          <w:tcPr>
            <w:tcW w:w="3849"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rPr>
                <w:rFonts w:asciiTheme="majorHAnsi" w:hAnsiTheme="majorHAnsi" w:cstheme="majorHAnsi"/>
                <w:sz w:val="24"/>
                <w:szCs w:val="24"/>
              </w:rPr>
            </w:pPr>
            <w:r w:rsidRPr="00AF5056">
              <w:rPr>
                <w:rFonts w:asciiTheme="majorHAnsi" w:hAnsiTheme="majorHAnsi" w:cstheme="majorHAnsi"/>
                <w:sz w:val="24"/>
                <w:szCs w:val="24"/>
              </w:rPr>
              <w:t>Structures and buildings allowance – straight-line relief</w:t>
            </w:r>
          </w:p>
        </w:tc>
        <w:tc>
          <w:tcPr>
            <w:tcW w:w="1151"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967DD9" w:rsidRPr="00AF5056" w:rsidRDefault="00967DD9" w:rsidP="00B17665">
            <w:pPr>
              <w:pStyle w:val="TaxBody"/>
              <w:jc w:val="center"/>
              <w:rPr>
                <w:rFonts w:asciiTheme="majorHAnsi" w:hAnsiTheme="majorHAnsi" w:cstheme="majorHAnsi"/>
                <w:sz w:val="24"/>
                <w:szCs w:val="24"/>
              </w:rPr>
            </w:pPr>
            <w:r w:rsidRPr="00AF5056">
              <w:rPr>
                <w:rFonts w:asciiTheme="majorHAnsi" w:hAnsiTheme="majorHAnsi" w:cstheme="majorHAnsi"/>
                <w:sz w:val="24"/>
                <w:szCs w:val="24"/>
              </w:rPr>
              <w:t>3%</w:t>
            </w:r>
          </w:p>
        </w:tc>
      </w:tr>
    </w:tbl>
    <w:p w:rsidR="00967DD9" w:rsidRPr="00DA7C33" w:rsidRDefault="00967DD9" w:rsidP="00967DD9">
      <w:pPr>
        <w:pStyle w:val="Heading1"/>
      </w:pPr>
      <w:r w:rsidRPr="00AF5056">
        <w:t>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6"/>
        <w:gridCol w:w="2524"/>
        <w:gridCol w:w="2526"/>
      </w:tblGrid>
      <w:tr w:rsidR="00967DD9" w:rsidRPr="00AF5056" w:rsidTr="00967DD9">
        <w:trPr>
          <w:trHeight w:val="20"/>
        </w:trPr>
        <w:tc>
          <w:tcPr>
            <w:tcW w:w="2585" w:type="pct"/>
            <w:shd w:val="clear" w:color="auto" w:fill="D9D9D9" w:themeFill="background1" w:themeFillShade="D9"/>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b/>
                <w:bCs/>
                <w:sz w:val="24"/>
                <w:szCs w:val="24"/>
              </w:rPr>
              <w:t>From 1 April</w:t>
            </w:r>
          </w:p>
        </w:tc>
        <w:tc>
          <w:tcPr>
            <w:tcW w:w="1207" w:type="pct"/>
            <w:shd w:val="clear" w:color="auto" w:fill="D9D9D9" w:themeFill="background1" w:themeFillShade="D9"/>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2020</w:t>
            </w:r>
          </w:p>
        </w:tc>
        <w:tc>
          <w:tcPr>
            <w:tcW w:w="1208" w:type="pct"/>
            <w:shd w:val="clear" w:color="auto" w:fill="D9D9D9" w:themeFill="background1" w:themeFillShade="D9"/>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2019</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Standard rate</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20%</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VAT fraction</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1/6</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1/6</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Reduced rate</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5%</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5%</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VAT fraction</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1/21</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1/21</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Zero-rate</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0%</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0%</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Exempt</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N/A</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sz w:val="24"/>
                <w:szCs w:val="24"/>
              </w:rPr>
              <w:t>N/A</w:t>
            </w:r>
          </w:p>
        </w:tc>
      </w:tr>
    </w:tbl>
    <w:p w:rsidR="00967DD9" w:rsidRPr="00AF5056" w:rsidRDefault="00967DD9" w:rsidP="00967DD9">
      <w:pPr>
        <w:pStyle w:val="Heading2"/>
      </w:pPr>
      <w:r w:rsidRPr="00AF5056">
        <w:t>Taxable turnover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6"/>
        <w:gridCol w:w="2524"/>
        <w:gridCol w:w="2526"/>
      </w:tblGrid>
      <w:tr w:rsidR="00967DD9" w:rsidRPr="00AF5056" w:rsidTr="00967DD9">
        <w:trPr>
          <w:trHeight w:val="20"/>
        </w:trPr>
        <w:tc>
          <w:tcPr>
            <w:tcW w:w="2585" w:type="pct"/>
            <w:shd w:val="clear" w:color="auto" w:fill="D9D9D9" w:themeFill="background1" w:themeFillShade="D9"/>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b/>
                <w:bCs/>
                <w:sz w:val="24"/>
                <w:szCs w:val="24"/>
              </w:rPr>
              <w:t>From 1 April</w:t>
            </w:r>
          </w:p>
        </w:tc>
        <w:tc>
          <w:tcPr>
            <w:tcW w:w="1207" w:type="pct"/>
            <w:shd w:val="clear" w:color="auto" w:fill="D9D9D9" w:themeFill="background1" w:themeFillShade="D9"/>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2020</w:t>
            </w:r>
          </w:p>
        </w:tc>
        <w:tc>
          <w:tcPr>
            <w:tcW w:w="1208" w:type="pct"/>
            <w:shd w:val="clear" w:color="auto" w:fill="D9D9D9" w:themeFill="background1" w:themeFillShade="D9"/>
            <w:tcMar>
              <w:top w:w="0" w:type="dxa"/>
              <w:left w:w="85" w:type="dxa"/>
              <w:bottom w:w="0" w:type="dxa"/>
              <w:right w:w="85" w:type="dxa"/>
            </w:tcMar>
            <w:vAlign w:val="center"/>
          </w:tcPr>
          <w:p w:rsidR="00967DD9" w:rsidRPr="00AF5056" w:rsidRDefault="00967DD9" w:rsidP="002A609E">
            <w:pPr>
              <w:pStyle w:val="TaxBody"/>
              <w:jc w:val="center"/>
              <w:rPr>
                <w:rFonts w:asciiTheme="majorHAnsi" w:hAnsiTheme="majorHAnsi" w:cstheme="majorHAnsi"/>
                <w:sz w:val="24"/>
                <w:szCs w:val="24"/>
              </w:rPr>
            </w:pPr>
            <w:r w:rsidRPr="00AF5056">
              <w:rPr>
                <w:rFonts w:asciiTheme="majorHAnsi" w:hAnsiTheme="majorHAnsi" w:cstheme="majorHAnsi"/>
                <w:b/>
                <w:bCs/>
                <w:sz w:val="24"/>
                <w:szCs w:val="24"/>
              </w:rPr>
              <w:t>2019</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Registration (last 12 months or next 30 days) over</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£85,000</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£85,000</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Deregistration (next year) under</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£83,000</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£83,000</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Annual and cash accounting schemes turnover limit</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£1.35m</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£1.35m</w:t>
            </w:r>
          </w:p>
        </w:tc>
      </w:tr>
      <w:tr w:rsidR="00967DD9" w:rsidRPr="00AF5056" w:rsidTr="00967DD9">
        <w:trPr>
          <w:trHeight w:val="20"/>
        </w:trPr>
        <w:tc>
          <w:tcPr>
            <w:tcW w:w="2585"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Flat-rate scheme turnover limit</w:t>
            </w:r>
          </w:p>
        </w:tc>
        <w:tc>
          <w:tcPr>
            <w:tcW w:w="1207"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£150,000</w:t>
            </w:r>
          </w:p>
        </w:tc>
        <w:tc>
          <w:tcPr>
            <w:tcW w:w="1208" w:type="pct"/>
            <w:shd w:val="solid" w:color="FFFFFF" w:fill="auto"/>
            <w:tcMar>
              <w:top w:w="0" w:type="dxa"/>
              <w:left w:w="85" w:type="dxa"/>
              <w:bottom w:w="0" w:type="dxa"/>
              <w:right w:w="85" w:type="dxa"/>
            </w:tcMar>
            <w:vAlign w:val="center"/>
          </w:tcPr>
          <w:p w:rsidR="00967DD9" w:rsidRPr="00AF5056" w:rsidRDefault="00967DD9" w:rsidP="002A609E">
            <w:pPr>
              <w:pStyle w:val="TaxBody"/>
              <w:rPr>
                <w:rFonts w:asciiTheme="majorHAnsi" w:hAnsiTheme="majorHAnsi" w:cstheme="majorHAnsi"/>
                <w:sz w:val="24"/>
                <w:szCs w:val="24"/>
              </w:rPr>
            </w:pPr>
            <w:r w:rsidRPr="00AF5056">
              <w:rPr>
                <w:rFonts w:asciiTheme="majorHAnsi" w:hAnsiTheme="majorHAnsi" w:cstheme="majorHAnsi"/>
                <w:sz w:val="24"/>
                <w:szCs w:val="24"/>
              </w:rPr>
              <w:t>£150,000</w:t>
            </w:r>
          </w:p>
        </w:tc>
      </w:tr>
    </w:tbl>
    <w:p w:rsidR="00C54564" w:rsidRPr="00C54564" w:rsidRDefault="00C54564" w:rsidP="00967DD9">
      <w:pPr>
        <w:pStyle w:val="Heading1"/>
      </w:pPr>
      <w:r w:rsidRPr="00C54564">
        <w:t>R</w:t>
      </w:r>
      <w:r>
        <w:t>esearch and development (R&amp;D)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6"/>
        <w:gridCol w:w="1460"/>
      </w:tblGrid>
      <w:tr w:rsidR="00C54564" w:rsidRPr="00C54564" w:rsidTr="00967DD9">
        <w:trPr>
          <w:trHeight w:val="284"/>
        </w:trPr>
        <w:tc>
          <w:tcPr>
            <w:tcW w:w="4302"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Revenue expenditure – SMEs</w:t>
            </w:r>
          </w:p>
        </w:tc>
        <w:tc>
          <w:tcPr>
            <w:tcW w:w="698"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230%</w:t>
            </w:r>
          </w:p>
        </w:tc>
      </w:tr>
      <w:tr w:rsidR="00C54564" w:rsidRPr="00C54564" w:rsidTr="00967DD9">
        <w:trPr>
          <w:trHeight w:val="284"/>
        </w:trPr>
        <w:tc>
          <w:tcPr>
            <w:tcW w:w="4302"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Capital expenditure – all companies</w:t>
            </w:r>
          </w:p>
        </w:tc>
        <w:tc>
          <w:tcPr>
            <w:tcW w:w="698"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100%</w:t>
            </w:r>
          </w:p>
        </w:tc>
      </w:tr>
      <w:tr w:rsidR="00C54564" w:rsidRPr="00C54564" w:rsidTr="00967DD9">
        <w:trPr>
          <w:trHeight w:val="284"/>
        </w:trPr>
        <w:tc>
          <w:tcPr>
            <w:tcW w:w="4302"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SME company R&amp;D payable credit</w:t>
            </w:r>
          </w:p>
        </w:tc>
        <w:tc>
          <w:tcPr>
            <w:tcW w:w="698"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14.5%</w:t>
            </w:r>
          </w:p>
        </w:tc>
      </w:tr>
      <w:tr w:rsidR="00C54564" w:rsidRPr="00C54564" w:rsidTr="00967DD9">
        <w:trPr>
          <w:trHeight w:val="284"/>
        </w:trPr>
        <w:tc>
          <w:tcPr>
            <w:tcW w:w="4302"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Large company R&amp;D expenditure credit (RDEC)</w:t>
            </w:r>
          </w:p>
        </w:tc>
        <w:tc>
          <w:tcPr>
            <w:tcW w:w="698"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13%</w:t>
            </w:r>
          </w:p>
        </w:tc>
      </w:tr>
    </w:tbl>
    <w:p w:rsidR="003711ED" w:rsidRDefault="003711ED" w:rsidP="00967DD9">
      <w:pPr>
        <w:pStyle w:val="Heading1"/>
      </w:pPr>
    </w:p>
    <w:p w:rsidR="003711ED" w:rsidRDefault="003711ED" w:rsidP="003711ED">
      <w:pPr>
        <w:rPr>
          <w:rFonts w:asciiTheme="majorHAnsi" w:eastAsiaTheme="majorEastAsia" w:hAnsiTheme="majorHAnsi" w:cstheme="majorBidi"/>
          <w:color w:val="365F91" w:themeColor="accent1" w:themeShade="BF"/>
          <w:sz w:val="28"/>
          <w:szCs w:val="28"/>
        </w:rPr>
      </w:pPr>
      <w:r>
        <w:br w:type="page"/>
      </w:r>
    </w:p>
    <w:p w:rsidR="00C54564" w:rsidRPr="00967DD9" w:rsidRDefault="00C54564" w:rsidP="00967DD9">
      <w:pPr>
        <w:pStyle w:val="Heading1"/>
      </w:pPr>
      <w:r>
        <w:lastRenderedPageBreak/>
        <w:t>Tax-efficient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6"/>
        <w:gridCol w:w="1755"/>
        <w:gridCol w:w="1755"/>
      </w:tblGrid>
      <w:tr w:rsidR="00C54564" w:rsidRPr="00C54564" w:rsidTr="00967DD9">
        <w:trPr>
          <w:trHeight w:val="266"/>
        </w:trPr>
        <w:tc>
          <w:tcPr>
            <w:tcW w:w="3322" w:type="pct"/>
            <w:shd w:val="clear" w:color="auto" w:fill="D9D9D9" w:themeFill="background1" w:themeFillShade="D9"/>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b/>
                <w:bCs/>
                <w:sz w:val="24"/>
                <w:szCs w:val="24"/>
              </w:rPr>
              <w:t>Annual investment limit</w:t>
            </w:r>
          </w:p>
        </w:tc>
        <w:tc>
          <w:tcPr>
            <w:tcW w:w="839" w:type="pct"/>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2020/21</w:t>
            </w:r>
          </w:p>
        </w:tc>
        <w:tc>
          <w:tcPr>
            <w:tcW w:w="839" w:type="pct"/>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2019/20</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ISA</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£20,000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£20,000</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Lifetime ISA*</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£4,000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£4,000</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Help-to-buy ISA (existing savers only)</w:t>
            </w:r>
          </w:p>
        </w:tc>
        <w:tc>
          <w:tcPr>
            <w:tcW w:w="1678" w:type="pct"/>
            <w:gridSpan w:val="2"/>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Up to £200 a month</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Junior ISA and child trust fund</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£9,000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£4,368</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Venture capital trust at 30%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£200,000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£200,000</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Enterprise investment scheme at 30%**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£1m</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£1m</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 xml:space="preserve">Seed EIS (SEIS) at 50% </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£100,000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£100,000</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SEIS capital gains tax reinvestment relief</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50%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50%</w:t>
            </w:r>
          </w:p>
        </w:tc>
      </w:tr>
      <w:tr w:rsidR="00C54564" w:rsidRPr="00C54564" w:rsidTr="00967DD9">
        <w:trPr>
          <w:trHeight w:val="266"/>
        </w:trPr>
        <w:tc>
          <w:tcPr>
            <w:tcW w:w="3322" w:type="pct"/>
            <w:shd w:val="solid" w:color="FFFFFF" w:fill="auto"/>
            <w:tcMar>
              <w:top w:w="0" w:type="dxa"/>
              <w:left w:w="28" w:type="dxa"/>
              <w:bottom w:w="0" w:type="dxa"/>
              <w:right w:w="28"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Social investment tax relief at 30%</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£1m</w:t>
            </w:r>
          </w:p>
        </w:tc>
        <w:tc>
          <w:tcPr>
            <w:tcW w:w="839" w:type="pct"/>
            <w:shd w:val="solid" w:color="FFFFFF" w:fill="auto"/>
            <w:tcMar>
              <w:top w:w="0" w:type="dxa"/>
              <w:left w:w="28" w:type="dxa"/>
              <w:bottom w:w="0" w:type="dxa"/>
              <w:right w:w="28"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£1m</w:t>
            </w:r>
          </w:p>
        </w:tc>
      </w:tr>
    </w:tbl>
    <w:p w:rsidR="00C54564" w:rsidRPr="00C54564" w:rsidRDefault="00C54564" w:rsidP="00C54564">
      <w:pPr>
        <w:pStyle w:val="Extrathings"/>
        <w:rPr>
          <w:rFonts w:asciiTheme="majorHAnsi" w:hAnsiTheme="majorHAnsi" w:cstheme="majorHAnsi"/>
          <w:sz w:val="16"/>
        </w:rPr>
      </w:pPr>
      <w:r w:rsidRPr="00C54564">
        <w:rPr>
          <w:rFonts w:asciiTheme="majorHAnsi" w:hAnsiTheme="majorHAnsi" w:cstheme="majorHAnsi"/>
          <w:sz w:val="16"/>
        </w:rPr>
        <w:t>* Reduces ISA limit by amount invested in Lifetime ISA.</w:t>
      </w:r>
    </w:p>
    <w:p w:rsidR="00C54564" w:rsidRPr="00C54564" w:rsidRDefault="00C54564" w:rsidP="00C54564">
      <w:pPr>
        <w:pStyle w:val="Extrathings"/>
        <w:rPr>
          <w:rFonts w:asciiTheme="majorHAnsi" w:hAnsiTheme="majorHAnsi" w:cstheme="majorHAnsi"/>
          <w:sz w:val="16"/>
        </w:rPr>
      </w:pPr>
      <w:r w:rsidRPr="00C54564">
        <w:rPr>
          <w:rFonts w:asciiTheme="majorHAnsi" w:hAnsiTheme="majorHAnsi" w:cstheme="majorHAnsi"/>
          <w:sz w:val="16"/>
        </w:rPr>
        <w:t>** Up to £2m in a knowledge-intensive company.</w:t>
      </w:r>
    </w:p>
    <w:p w:rsidR="00C54564" w:rsidRPr="00C54564" w:rsidRDefault="00967DD9" w:rsidP="00967DD9">
      <w:pPr>
        <w:pStyle w:val="Heading1"/>
        <w:rPr>
          <w:caps/>
          <w:sz w:val="14"/>
          <w:szCs w:val="14"/>
        </w:rPr>
      </w:pPr>
      <w:r>
        <w:t>Registered pensions</w:t>
      </w:r>
    </w:p>
    <w:tbl>
      <w:tblPr>
        <w:tblW w:w="5000" w:type="pct"/>
        <w:tblCellMar>
          <w:left w:w="0" w:type="dxa"/>
          <w:right w:w="0" w:type="dxa"/>
        </w:tblCellMar>
        <w:tblLook w:val="0000" w:firstRow="0" w:lastRow="0" w:firstColumn="0" w:lastColumn="0" w:noHBand="0" w:noVBand="0"/>
      </w:tblPr>
      <w:tblGrid>
        <w:gridCol w:w="6084"/>
        <w:gridCol w:w="2185"/>
        <w:gridCol w:w="2187"/>
      </w:tblGrid>
      <w:tr w:rsidR="00C54564" w:rsidRPr="00C54564" w:rsidTr="00967DD9">
        <w:trPr>
          <w:trHeight w:val="204"/>
        </w:trPr>
        <w:tc>
          <w:tcPr>
            <w:tcW w:w="29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C54564" w:rsidRPr="00C54564" w:rsidRDefault="00C54564">
            <w:pPr>
              <w:pStyle w:val="NoParagraphStyle"/>
              <w:spacing w:line="240" w:lineRule="auto"/>
              <w:textAlignment w:val="auto"/>
              <w:rPr>
                <w:rFonts w:asciiTheme="majorHAnsi" w:hAnsiTheme="majorHAnsi" w:cstheme="majorHAnsi"/>
                <w:color w:val="auto"/>
                <w:sz w:val="24"/>
              </w:rPr>
            </w:pPr>
          </w:p>
        </w:tc>
        <w:tc>
          <w:tcPr>
            <w:tcW w:w="10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rPr>
            </w:pPr>
            <w:r w:rsidRPr="00C54564">
              <w:rPr>
                <w:rFonts w:asciiTheme="majorHAnsi" w:hAnsiTheme="majorHAnsi" w:cstheme="majorHAnsi"/>
                <w:b/>
                <w:bCs/>
                <w:sz w:val="24"/>
              </w:rPr>
              <w:t>2020/21</w:t>
            </w:r>
          </w:p>
        </w:tc>
        <w:tc>
          <w:tcPr>
            <w:tcW w:w="10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rPr>
            </w:pPr>
            <w:r w:rsidRPr="00C54564">
              <w:rPr>
                <w:rFonts w:asciiTheme="majorHAnsi" w:hAnsiTheme="majorHAnsi" w:cstheme="majorHAnsi"/>
                <w:b/>
                <w:bCs/>
                <w:sz w:val="24"/>
              </w:rPr>
              <w:t>2019/20</w:t>
            </w:r>
          </w:p>
        </w:tc>
      </w:tr>
      <w:tr w:rsidR="00C54564" w:rsidRPr="00C54564" w:rsidTr="00967DD9">
        <w:trPr>
          <w:trHeight w:val="204"/>
        </w:trPr>
        <w:tc>
          <w:tcPr>
            <w:tcW w:w="290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Lifetime allowance limit</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£1,073,100</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£1,055,000</w:t>
            </w:r>
          </w:p>
        </w:tc>
      </w:tr>
      <w:tr w:rsidR="00C54564" w:rsidRPr="00C54564" w:rsidTr="00967DD9">
        <w:trPr>
          <w:trHeight w:val="204"/>
        </w:trPr>
        <w:tc>
          <w:tcPr>
            <w:tcW w:w="290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Money purchase annual allowance</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 xml:space="preserve">£4,000 </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£4,000</w:t>
            </w:r>
          </w:p>
        </w:tc>
      </w:tr>
      <w:tr w:rsidR="00C54564" w:rsidRPr="00C54564" w:rsidTr="00967DD9">
        <w:trPr>
          <w:trHeight w:val="204"/>
        </w:trPr>
        <w:tc>
          <w:tcPr>
            <w:tcW w:w="290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Annual allowance limit*</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£40,000</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£40,000</w:t>
            </w:r>
          </w:p>
        </w:tc>
      </w:tr>
      <w:tr w:rsidR="00C54564" w:rsidRPr="00C54564" w:rsidTr="00967DD9">
        <w:trPr>
          <w:trHeight w:val="204"/>
        </w:trPr>
        <w:tc>
          <w:tcPr>
            <w:tcW w:w="290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Minimum age for accessing benefits</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55</w:t>
            </w:r>
          </w:p>
        </w:tc>
        <w:tc>
          <w:tcPr>
            <w:tcW w:w="1045"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55</w:t>
            </w:r>
          </w:p>
        </w:tc>
      </w:tr>
      <w:tr w:rsidR="00C54564" w:rsidRPr="00C54564" w:rsidTr="00967DD9">
        <w:trPr>
          <w:trHeight w:val="204"/>
        </w:trPr>
        <w:tc>
          <w:tcPr>
            <w:tcW w:w="2909" w:type="pct"/>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Maximum tax-free pension lump sum</w:t>
            </w:r>
          </w:p>
        </w:tc>
        <w:tc>
          <w:tcPr>
            <w:tcW w:w="2091" w:type="pct"/>
            <w:gridSpan w:val="2"/>
            <w:tcBorders>
              <w:top w:val="single" w:sz="4" w:space="0" w:color="auto"/>
              <w:left w:val="single" w:sz="4" w:space="0" w:color="auto"/>
              <w:bottom w:val="single" w:sz="4" w:space="0" w:color="auto"/>
              <w:right w:val="single" w:sz="4" w:space="0" w:color="auto"/>
            </w:tcBorders>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rPr>
            </w:pPr>
            <w:r w:rsidRPr="00C54564">
              <w:rPr>
                <w:rFonts w:asciiTheme="majorHAnsi" w:hAnsiTheme="majorHAnsi" w:cstheme="majorHAnsi"/>
                <w:sz w:val="24"/>
              </w:rPr>
              <w:t>25% of pension fund value</w:t>
            </w:r>
          </w:p>
        </w:tc>
      </w:tr>
    </w:tbl>
    <w:p w:rsidR="00C54564" w:rsidRPr="00C54564" w:rsidRDefault="00C54564" w:rsidP="00C54564">
      <w:pPr>
        <w:pStyle w:val="Extrathings"/>
        <w:rPr>
          <w:rFonts w:asciiTheme="majorHAnsi" w:hAnsiTheme="majorHAnsi" w:cstheme="majorHAnsi"/>
          <w:sz w:val="16"/>
          <w:szCs w:val="16"/>
        </w:rPr>
      </w:pPr>
      <w:r w:rsidRPr="00C54564">
        <w:rPr>
          <w:rFonts w:asciiTheme="majorHAnsi" w:hAnsiTheme="majorHAnsi" w:cstheme="majorHAnsi"/>
          <w:sz w:val="16"/>
          <w:szCs w:val="16"/>
        </w:rPr>
        <w:t>* Tapered at a rate of 50% of income down to £4,000 (2019/20, £10,000) if threshold income over £200,000 (2019/20, £110,000) and adjusted income over £240,000 (2019/20, £150,000). Restrictions can apply based on net-relevant earnings.</w:t>
      </w:r>
    </w:p>
    <w:p w:rsidR="00C54564" w:rsidRPr="00C54564" w:rsidRDefault="00C54564" w:rsidP="00C54564">
      <w:pPr>
        <w:pStyle w:val="Extrathings"/>
        <w:rPr>
          <w:rFonts w:asciiTheme="majorHAnsi" w:hAnsiTheme="majorHAnsi" w:cstheme="majorHAnsi"/>
          <w:sz w:val="16"/>
          <w:szCs w:val="16"/>
        </w:rPr>
      </w:pPr>
      <w:r w:rsidRPr="00C54564">
        <w:rPr>
          <w:rFonts w:asciiTheme="majorHAnsi" w:hAnsiTheme="majorHAnsi" w:cstheme="majorHAnsi"/>
          <w:sz w:val="16"/>
          <w:szCs w:val="16"/>
        </w:rPr>
        <w:br/>
        <w:t xml:space="preserve">Subject to certain conditions, the unused amount of the annual allowance can be carried forward up to three years and used once the current year annual allowance has been fully utilised. </w:t>
      </w:r>
    </w:p>
    <w:p w:rsidR="00967DD9" w:rsidRPr="00C54564" w:rsidRDefault="00967DD9" w:rsidP="00967DD9">
      <w:pPr>
        <w:pStyle w:val="Heading1"/>
        <w:rPr>
          <w:caps/>
          <w:sz w:val="14"/>
          <w:szCs w:val="14"/>
        </w:rPr>
      </w:pPr>
      <w:r w:rsidRPr="00C54564">
        <w:t>Stamp Duty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9"/>
        <w:gridCol w:w="4187"/>
      </w:tblGrid>
      <w:tr w:rsidR="00967DD9" w:rsidRPr="00C54564" w:rsidTr="00967DD9">
        <w:trPr>
          <w:trHeight w:val="232"/>
        </w:trPr>
        <w:tc>
          <w:tcPr>
            <w:tcW w:w="2998"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 xml:space="preserve">Consideration on shares over £1,000 </w:t>
            </w:r>
          </w:p>
        </w:tc>
        <w:tc>
          <w:tcPr>
            <w:tcW w:w="2002"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0.5%</w:t>
            </w:r>
          </w:p>
        </w:tc>
      </w:tr>
    </w:tbl>
    <w:p w:rsidR="00967DD9" w:rsidRPr="00C54564" w:rsidRDefault="00967DD9" w:rsidP="00967DD9">
      <w:pPr>
        <w:pStyle w:val="Heading1"/>
      </w:pPr>
      <w:r w:rsidRPr="00C54564">
        <w:t>Property taxes</w:t>
      </w:r>
    </w:p>
    <w:p w:rsidR="00967DD9" w:rsidRPr="00967DD9" w:rsidRDefault="00967DD9" w:rsidP="00967DD9">
      <w:pPr>
        <w:pStyle w:val="TaxBody"/>
        <w:rPr>
          <w:rFonts w:asciiTheme="majorHAnsi" w:hAnsiTheme="majorHAnsi" w:cstheme="majorHAnsi"/>
          <w:sz w:val="22"/>
          <w:szCs w:val="24"/>
        </w:rPr>
      </w:pPr>
      <w:r w:rsidRPr="00967DD9">
        <w:rPr>
          <w:rFonts w:asciiTheme="majorHAnsi" w:hAnsiTheme="majorHAnsi" w:cstheme="majorHAnsi"/>
          <w:sz w:val="22"/>
          <w:szCs w:val="24"/>
        </w:rPr>
        <w:t xml:space="preserve">The incremental rate of tax is only payable on the part of the property price within each band. An additional 3% rate (4% in Scotland) applies to the purchase of an additional residential property above £40,000 and all corporate residential properties. </w:t>
      </w:r>
    </w:p>
    <w:p w:rsidR="00967DD9" w:rsidRPr="00C54564" w:rsidRDefault="00967DD9" w:rsidP="00967DD9">
      <w:pPr>
        <w:pStyle w:val="Heading2"/>
      </w:pPr>
      <w:r w:rsidRPr="00C54564">
        <w:t>England and Northern Ireland: Stamp duty land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3"/>
        <w:gridCol w:w="1060"/>
        <w:gridCol w:w="4105"/>
        <w:gridCol w:w="1048"/>
      </w:tblGrid>
      <w:tr w:rsidR="00967DD9" w:rsidRPr="00C54564" w:rsidTr="00B335F5">
        <w:trPr>
          <w:trHeight w:val="342"/>
        </w:trPr>
        <w:tc>
          <w:tcPr>
            <w:tcW w:w="2536" w:type="pct"/>
            <w:gridSpan w:val="2"/>
            <w:shd w:val="clear" w:color="auto" w:fill="D9D9D9" w:themeFill="background1" w:themeFillShade="D9"/>
            <w:tcMar>
              <w:top w:w="80" w:type="dxa"/>
              <w:left w:w="80" w:type="dxa"/>
              <w:bottom w:w="80" w:type="dxa"/>
              <w:right w:w="80" w:type="dxa"/>
            </w:tcMar>
          </w:tcPr>
          <w:p w:rsidR="00967DD9" w:rsidRPr="00C54564" w:rsidRDefault="00EA7F39" w:rsidP="00671917">
            <w:pPr>
              <w:pStyle w:val="TaxBody"/>
              <w:rPr>
                <w:rFonts w:asciiTheme="majorHAnsi" w:hAnsiTheme="majorHAnsi" w:cstheme="majorHAnsi"/>
                <w:sz w:val="24"/>
                <w:szCs w:val="24"/>
              </w:rPr>
            </w:pPr>
            <w:r>
              <w:rPr>
                <w:rFonts w:asciiTheme="majorHAnsi" w:hAnsiTheme="majorHAnsi" w:cstheme="majorHAnsi"/>
                <w:b/>
                <w:bCs/>
                <w:sz w:val="24"/>
                <w:szCs w:val="24"/>
              </w:rPr>
              <w:t xml:space="preserve">On the transfer of </w:t>
            </w:r>
            <w:r w:rsidR="00967DD9" w:rsidRPr="00C54564">
              <w:rPr>
                <w:rFonts w:asciiTheme="majorHAnsi" w:hAnsiTheme="majorHAnsi" w:cstheme="majorHAnsi"/>
                <w:b/>
                <w:bCs/>
                <w:sz w:val="24"/>
                <w:szCs w:val="24"/>
              </w:rPr>
              <w:t xml:space="preserve">residential property*                     </w:t>
            </w:r>
          </w:p>
        </w:tc>
        <w:tc>
          <w:tcPr>
            <w:tcW w:w="2464" w:type="pct"/>
            <w:gridSpan w:val="2"/>
            <w:shd w:val="clear" w:color="auto" w:fill="D9D9D9" w:themeFill="background1" w:themeFillShade="D9"/>
            <w:tcMar>
              <w:top w:w="80" w:type="dxa"/>
              <w:left w:w="80" w:type="dxa"/>
              <w:bottom w:w="80" w:type="dxa"/>
              <w:right w:w="80" w:type="dxa"/>
            </w:tcMar>
          </w:tcPr>
          <w:p w:rsidR="00967DD9" w:rsidRPr="00C54564" w:rsidRDefault="00EA7F39" w:rsidP="00671917">
            <w:pPr>
              <w:pStyle w:val="TaxBody"/>
              <w:rPr>
                <w:rFonts w:asciiTheme="majorHAnsi" w:hAnsiTheme="majorHAnsi" w:cstheme="majorHAnsi"/>
                <w:sz w:val="24"/>
                <w:szCs w:val="24"/>
              </w:rPr>
            </w:pPr>
            <w:r>
              <w:rPr>
                <w:rFonts w:asciiTheme="majorHAnsi" w:hAnsiTheme="majorHAnsi" w:cstheme="majorHAnsi"/>
                <w:b/>
                <w:bCs/>
                <w:sz w:val="24"/>
                <w:szCs w:val="24"/>
              </w:rPr>
              <w:t xml:space="preserve">On the transfer of </w:t>
            </w:r>
            <w:r w:rsidR="00967DD9" w:rsidRPr="00C54564">
              <w:rPr>
                <w:rFonts w:asciiTheme="majorHAnsi" w:hAnsiTheme="majorHAnsi" w:cstheme="majorHAnsi"/>
                <w:b/>
                <w:bCs/>
                <w:sz w:val="24"/>
                <w:szCs w:val="24"/>
              </w:rPr>
              <w:t>non-residential property</w:t>
            </w:r>
          </w:p>
        </w:tc>
      </w:tr>
      <w:tr w:rsidR="00967DD9" w:rsidRPr="00C54564" w:rsidTr="00967DD9">
        <w:trPr>
          <w:trHeight w:val="174"/>
        </w:trPr>
        <w:tc>
          <w:tcPr>
            <w:tcW w:w="2029"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£0 – £125,000</w:t>
            </w:r>
          </w:p>
        </w:tc>
        <w:tc>
          <w:tcPr>
            <w:tcW w:w="507"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0%</w:t>
            </w:r>
          </w:p>
        </w:tc>
        <w:tc>
          <w:tcPr>
            <w:tcW w:w="1963"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£0 – £150,000</w:t>
            </w:r>
          </w:p>
        </w:tc>
        <w:tc>
          <w:tcPr>
            <w:tcW w:w="501"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0%</w:t>
            </w:r>
          </w:p>
        </w:tc>
      </w:tr>
      <w:tr w:rsidR="00967DD9" w:rsidRPr="00C54564" w:rsidTr="00967DD9">
        <w:trPr>
          <w:trHeight w:val="175"/>
        </w:trPr>
        <w:tc>
          <w:tcPr>
            <w:tcW w:w="2029"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Over £125,000 – £250,000</w:t>
            </w:r>
          </w:p>
        </w:tc>
        <w:tc>
          <w:tcPr>
            <w:tcW w:w="507"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2%</w:t>
            </w:r>
          </w:p>
        </w:tc>
        <w:tc>
          <w:tcPr>
            <w:tcW w:w="1963"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Over £150,000 – £250,000</w:t>
            </w:r>
          </w:p>
        </w:tc>
        <w:tc>
          <w:tcPr>
            <w:tcW w:w="501"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2%</w:t>
            </w:r>
          </w:p>
        </w:tc>
      </w:tr>
      <w:tr w:rsidR="00967DD9" w:rsidRPr="00C54564" w:rsidTr="00967DD9">
        <w:trPr>
          <w:trHeight w:val="159"/>
        </w:trPr>
        <w:tc>
          <w:tcPr>
            <w:tcW w:w="2029"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Over £250,000 – £925,000</w:t>
            </w:r>
          </w:p>
        </w:tc>
        <w:tc>
          <w:tcPr>
            <w:tcW w:w="507"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5%</w:t>
            </w:r>
          </w:p>
        </w:tc>
        <w:tc>
          <w:tcPr>
            <w:tcW w:w="1963"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Above £250,000</w:t>
            </w:r>
          </w:p>
        </w:tc>
        <w:tc>
          <w:tcPr>
            <w:tcW w:w="501"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5%</w:t>
            </w:r>
          </w:p>
        </w:tc>
      </w:tr>
      <w:tr w:rsidR="00967DD9" w:rsidRPr="00C54564" w:rsidTr="00967DD9">
        <w:trPr>
          <w:trHeight w:val="171"/>
        </w:trPr>
        <w:tc>
          <w:tcPr>
            <w:tcW w:w="2029"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Over £925,000 – £1.5m</w:t>
            </w:r>
          </w:p>
        </w:tc>
        <w:tc>
          <w:tcPr>
            <w:tcW w:w="507"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10%</w:t>
            </w:r>
          </w:p>
        </w:tc>
        <w:tc>
          <w:tcPr>
            <w:tcW w:w="1963" w:type="pct"/>
            <w:tcMar>
              <w:top w:w="0" w:type="dxa"/>
              <w:left w:w="85" w:type="dxa"/>
              <w:bottom w:w="0" w:type="dxa"/>
              <w:right w:w="85" w:type="dxa"/>
            </w:tcMar>
            <w:vAlign w:val="center"/>
          </w:tcPr>
          <w:p w:rsidR="00967DD9" w:rsidRPr="00C54564" w:rsidRDefault="00967DD9" w:rsidP="00671917">
            <w:pPr>
              <w:pStyle w:val="NoParagraphStyle"/>
              <w:spacing w:line="240" w:lineRule="auto"/>
              <w:textAlignment w:val="auto"/>
              <w:rPr>
                <w:rFonts w:asciiTheme="majorHAnsi" w:hAnsiTheme="majorHAnsi" w:cstheme="majorHAnsi"/>
                <w:color w:val="auto"/>
                <w:sz w:val="24"/>
                <w:szCs w:val="24"/>
              </w:rPr>
            </w:pPr>
          </w:p>
        </w:tc>
        <w:tc>
          <w:tcPr>
            <w:tcW w:w="501" w:type="pct"/>
            <w:tcMar>
              <w:top w:w="0" w:type="dxa"/>
              <w:left w:w="85" w:type="dxa"/>
              <w:bottom w:w="0" w:type="dxa"/>
              <w:right w:w="85" w:type="dxa"/>
            </w:tcMar>
            <w:vAlign w:val="center"/>
          </w:tcPr>
          <w:p w:rsidR="00967DD9" w:rsidRPr="00C54564" w:rsidRDefault="00967DD9" w:rsidP="00671917">
            <w:pPr>
              <w:pStyle w:val="NoParagraphStyle"/>
              <w:spacing w:line="240" w:lineRule="auto"/>
              <w:textAlignment w:val="auto"/>
              <w:rPr>
                <w:rFonts w:asciiTheme="majorHAnsi" w:hAnsiTheme="majorHAnsi" w:cstheme="majorHAnsi"/>
                <w:color w:val="auto"/>
                <w:sz w:val="24"/>
                <w:szCs w:val="24"/>
              </w:rPr>
            </w:pPr>
          </w:p>
        </w:tc>
      </w:tr>
      <w:tr w:rsidR="00967DD9" w:rsidRPr="00C54564" w:rsidTr="00967DD9">
        <w:trPr>
          <w:trHeight w:val="173"/>
        </w:trPr>
        <w:tc>
          <w:tcPr>
            <w:tcW w:w="2029" w:type="pct"/>
            <w:shd w:val="solid" w:color="FFFFFF" w:fill="auto"/>
            <w:tcMar>
              <w:top w:w="0" w:type="dxa"/>
              <w:left w:w="85" w:type="dxa"/>
              <w:bottom w:w="0" w:type="dxa"/>
              <w:right w:w="85" w:type="dxa"/>
            </w:tcMar>
            <w:vAlign w:val="center"/>
          </w:tcPr>
          <w:p w:rsidR="00967DD9" w:rsidRPr="00C54564" w:rsidRDefault="00967DD9" w:rsidP="00671917">
            <w:pPr>
              <w:pStyle w:val="TaxBody"/>
              <w:rPr>
                <w:rFonts w:asciiTheme="majorHAnsi" w:hAnsiTheme="majorHAnsi" w:cstheme="majorHAnsi"/>
                <w:sz w:val="24"/>
                <w:szCs w:val="24"/>
              </w:rPr>
            </w:pPr>
            <w:r w:rsidRPr="00C54564">
              <w:rPr>
                <w:rFonts w:asciiTheme="majorHAnsi" w:hAnsiTheme="majorHAnsi" w:cstheme="majorHAnsi"/>
                <w:sz w:val="24"/>
                <w:szCs w:val="24"/>
              </w:rPr>
              <w:t>Above £1.5m</w:t>
            </w:r>
          </w:p>
        </w:tc>
        <w:tc>
          <w:tcPr>
            <w:tcW w:w="507" w:type="pct"/>
            <w:shd w:val="solid" w:color="FFFFFF" w:fill="auto"/>
            <w:tcMar>
              <w:top w:w="0" w:type="dxa"/>
              <w:left w:w="85" w:type="dxa"/>
              <w:bottom w:w="0" w:type="dxa"/>
              <w:right w:w="85" w:type="dxa"/>
            </w:tcMar>
            <w:vAlign w:val="center"/>
          </w:tcPr>
          <w:p w:rsidR="00967DD9" w:rsidRPr="00C54564" w:rsidRDefault="00967DD9" w:rsidP="00671917">
            <w:pPr>
              <w:pStyle w:val="TaxBody"/>
              <w:jc w:val="center"/>
              <w:rPr>
                <w:rFonts w:asciiTheme="majorHAnsi" w:hAnsiTheme="majorHAnsi" w:cstheme="majorHAnsi"/>
                <w:sz w:val="24"/>
                <w:szCs w:val="24"/>
              </w:rPr>
            </w:pPr>
            <w:r w:rsidRPr="00C54564">
              <w:rPr>
                <w:rFonts w:asciiTheme="majorHAnsi" w:hAnsiTheme="majorHAnsi" w:cstheme="majorHAnsi"/>
                <w:sz w:val="24"/>
                <w:szCs w:val="24"/>
              </w:rPr>
              <w:t>12%</w:t>
            </w:r>
          </w:p>
        </w:tc>
        <w:tc>
          <w:tcPr>
            <w:tcW w:w="1963" w:type="pct"/>
            <w:tcMar>
              <w:top w:w="0" w:type="dxa"/>
              <w:left w:w="85" w:type="dxa"/>
              <w:bottom w:w="0" w:type="dxa"/>
              <w:right w:w="85" w:type="dxa"/>
            </w:tcMar>
            <w:vAlign w:val="center"/>
          </w:tcPr>
          <w:p w:rsidR="00967DD9" w:rsidRPr="00C54564" w:rsidRDefault="00967DD9" w:rsidP="00671917">
            <w:pPr>
              <w:pStyle w:val="NoParagraphStyle"/>
              <w:spacing w:line="240" w:lineRule="auto"/>
              <w:textAlignment w:val="auto"/>
              <w:rPr>
                <w:rFonts w:asciiTheme="majorHAnsi" w:hAnsiTheme="majorHAnsi" w:cstheme="majorHAnsi"/>
                <w:color w:val="auto"/>
                <w:sz w:val="24"/>
                <w:szCs w:val="24"/>
              </w:rPr>
            </w:pPr>
          </w:p>
        </w:tc>
        <w:tc>
          <w:tcPr>
            <w:tcW w:w="501" w:type="pct"/>
            <w:tcMar>
              <w:top w:w="0" w:type="dxa"/>
              <w:left w:w="85" w:type="dxa"/>
              <w:bottom w:w="0" w:type="dxa"/>
              <w:right w:w="85" w:type="dxa"/>
            </w:tcMar>
            <w:vAlign w:val="center"/>
          </w:tcPr>
          <w:p w:rsidR="00967DD9" w:rsidRPr="00C54564" w:rsidRDefault="00967DD9" w:rsidP="00671917">
            <w:pPr>
              <w:pStyle w:val="NoParagraphStyle"/>
              <w:spacing w:line="240" w:lineRule="auto"/>
              <w:textAlignment w:val="auto"/>
              <w:rPr>
                <w:rFonts w:asciiTheme="majorHAnsi" w:hAnsiTheme="majorHAnsi" w:cstheme="majorHAnsi"/>
                <w:color w:val="auto"/>
                <w:sz w:val="24"/>
                <w:szCs w:val="24"/>
              </w:rPr>
            </w:pPr>
          </w:p>
        </w:tc>
      </w:tr>
    </w:tbl>
    <w:p w:rsidR="00967DD9" w:rsidRPr="00C54564" w:rsidRDefault="00967DD9" w:rsidP="00967DD9">
      <w:pPr>
        <w:pStyle w:val="Extrathings"/>
        <w:rPr>
          <w:rFonts w:asciiTheme="majorHAnsi" w:hAnsiTheme="majorHAnsi" w:cstheme="majorHAnsi"/>
          <w:sz w:val="16"/>
          <w:szCs w:val="16"/>
        </w:rPr>
      </w:pPr>
      <w:r w:rsidRPr="00C54564">
        <w:rPr>
          <w:rFonts w:asciiTheme="majorHAnsi" w:hAnsiTheme="majorHAnsi" w:cstheme="majorHAnsi"/>
          <w:sz w:val="16"/>
          <w:szCs w:val="16"/>
        </w:rPr>
        <w:t>* First-time buyers pay nothing on the first £300,000 for properties up to £500,000. A rate of 5% applies between £300,000 and £500,000.</w:t>
      </w:r>
    </w:p>
    <w:p w:rsidR="00967DD9" w:rsidRPr="00C54564" w:rsidRDefault="00967DD9" w:rsidP="00967DD9">
      <w:pPr>
        <w:pStyle w:val="Extrathings"/>
        <w:rPr>
          <w:rFonts w:asciiTheme="majorHAnsi" w:hAnsiTheme="majorHAnsi" w:cstheme="majorHAnsi"/>
          <w:sz w:val="16"/>
          <w:szCs w:val="16"/>
        </w:rPr>
      </w:pPr>
      <w:r w:rsidRPr="00C54564">
        <w:rPr>
          <w:rFonts w:asciiTheme="majorHAnsi" w:hAnsiTheme="majorHAnsi" w:cstheme="majorHAnsi"/>
          <w:sz w:val="16"/>
          <w:szCs w:val="16"/>
        </w:rPr>
        <w:t>For residential purchases by ‘non-natural persons’ over £500,000 a rate of 15% applies, subject to certain exclusions.</w:t>
      </w:r>
    </w:p>
    <w:p w:rsidR="00967DD9" w:rsidRPr="00C54564" w:rsidRDefault="00967DD9" w:rsidP="00967DD9">
      <w:pPr>
        <w:pStyle w:val="Heading2"/>
      </w:pPr>
      <w:r>
        <w:lastRenderedPageBreak/>
        <w:t>S</w:t>
      </w:r>
      <w:r w:rsidRPr="00C54564">
        <w:t>cotland: Land and buildings transaction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3"/>
        <w:gridCol w:w="1060"/>
        <w:gridCol w:w="4105"/>
        <w:gridCol w:w="1048"/>
      </w:tblGrid>
      <w:tr w:rsidR="00967DD9" w:rsidRPr="00AF5056" w:rsidTr="00967DD9">
        <w:trPr>
          <w:trHeight w:val="362"/>
        </w:trPr>
        <w:tc>
          <w:tcPr>
            <w:tcW w:w="2536" w:type="pct"/>
            <w:gridSpan w:val="2"/>
            <w:shd w:val="clear" w:color="auto" w:fill="D9D9D9" w:themeFill="background1" w:themeFillShade="D9"/>
            <w:tcMar>
              <w:top w:w="80" w:type="dxa"/>
              <w:left w:w="80" w:type="dxa"/>
              <w:bottom w:w="80" w:type="dxa"/>
              <w:right w:w="80" w:type="dxa"/>
            </w:tcMar>
          </w:tcPr>
          <w:p w:rsidR="00967DD9" w:rsidRPr="00AF5056" w:rsidRDefault="00EA7F39" w:rsidP="00671917">
            <w:pPr>
              <w:pStyle w:val="TaxBody"/>
              <w:rPr>
                <w:rFonts w:asciiTheme="majorHAnsi" w:hAnsiTheme="majorHAnsi" w:cstheme="majorHAnsi"/>
                <w:sz w:val="24"/>
                <w:szCs w:val="24"/>
              </w:rPr>
            </w:pPr>
            <w:r>
              <w:rPr>
                <w:rFonts w:asciiTheme="majorHAnsi" w:hAnsiTheme="majorHAnsi" w:cstheme="majorHAnsi"/>
                <w:b/>
                <w:bCs/>
                <w:sz w:val="24"/>
                <w:szCs w:val="24"/>
              </w:rPr>
              <w:t xml:space="preserve">On the transfer of </w:t>
            </w:r>
            <w:r w:rsidR="00967DD9" w:rsidRPr="00AF5056">
              <w:rPr>
                <w:rFonts w:asciiTheme="majorHAnsi" w:hAnsiTheme="majorHAnsi" w:cstheme="majorHAnsi"/>
                <w:b/>
                <w:bCs/>
                <w:sz w:val="24"/>
                <w:szCs w:val="24"/>
              </w:rPr>
              <w:t xml:space="preserve">residential property*                    </w:t>
            </w:r>
          </w:p>
        </w:tc>
        <w:tc>
          <w:tcPr>
            <w:tcW w:w="2464" w:type="pct"/>
            <w:gridSpan w:val="2"/>
            <w:shd w:val="clear" w:color="auto" w:fill="D9D9D9" w:themeFill="background1" w:themeFillShade="D9"/>
            <w:tcMar>
              <w:top w:w="80" w:type="dxa"/>
              <w:left w:w="80" w:type="dxa"/>
              <w:bottom w:w="80" w:type="dxa"/>
              <w:right w:w="80" w:type="dxa"/>
            </w:tcMar>
          </w:tcPr>
          <w:p w:rsidR="00967DD9" w:rsidRPr="00AF5056" w:rsidRDefault="00EA7F39" w:rsidP="00671917">
            <w:pPr>
              <w:pStyle w:val="TaxBody"/>
              <w:rPr>
                <w:rFonts w:asciiTheme="majorHAnsi" w:hAnsiTheme="majorHAnsi" w:cstheme="majorHAnsi"/>
                <w:sz w:val="24"/>
                <w:szCs w:val="24"/>
              </w:rPr>
            </w:pPr>
            <w:r>
              <w:rPr>
                <w:rFonts w:asciiTheme="majorHAnsi" w:hAnsiTheme="majorHAnsi" w:cstheme="majorHAnsi"/>
                <w:b/>
                <w:bCs/>
                <w:sz w:val="24"/>
                <w:szCs w:val="24"/>
              </w:rPr>
              <w:t xml:space="preserve">On the transfer of </w:t>
            </w:r>
            <w:r w:rsidR="00967DD9" w:rsidRPr="00AF5056">
              <w:rPr>
                <w:rFonts w:asciiTheme="majorHAnsi" w:hAnsiTheme="majorHAnsi" w:cstheme="majorHAnsi"/>
                <w:b/>
                <w:bCs/>
                <w:sz w:val="24"/>
                <w:szCs w:val="24"/>
              </w:rPr>
              <w:t>non-residential property</w:t>
            </w:r>
          </w:p>
        </w:tc>
      </w:tr>
      <w:tr w:rsidR="00967DD9" w:rsidRPr="00AF5056" w:rsidTr="00967DD9">
        <w:trPr>
          <w:trHeight w:val="212"/>
        </w:trPr>
        <w:tc>
          <w:tcPr>
            <w:tcW w:w="2029"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£0 – £145,000</w:t>
            </w:r>
          </w:p>
        </w:tc>
        <w:tc>
          <w:tcPr>
            <w:tcW w:w="507"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0%</w:t>
            </w:r>
          </w:p>
        </w:tc>
        <w:tc>
          <w:tcPr>
            <w:tcW w:w="1963"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£0 – £150,000</w:t>
            </w:r>
          </w:p>
        </w:tc>
        <w:tc>
          <w:tcPr>
            <w:tcW w:w="501"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0%</w:t>
            </w:r>
          </w:p>
        </w:tc>
      </w:tr>
      <w:tr w:rsidR="00967DD9" w:rsidRPr="00AF5056" w:rsidTr="00967DD9">
        <w:trPr>
          <w:trHeight w:val="212"/>
        </w:trPr>
        <w:tc>
          <w:tcPr>
            <w:tcW w:w="2029"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Over £145,000 – £250,000</w:t>
            </w:r>
          </w:p>
        </w:tc>
        <w:tc>
          <w:tcPr>
            <w:tcW w:w="507"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2%</w:t>
            </w:r>
          </w:p>
        </w:tc>
        <w:tc>
          <w:tcPr>
            <w:tcW w:w="1963"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pacing w:val="-1"/>
                <w:sz w:val="24"/>
                <w:szCs w:val="24"/>
              </w:rPr>
              <w:t xml:space="preserve">Over £150,000 – £250,000    </w:t>
            </w:r>
          </w:p>
        </w:tc>
        <w:tc>
          <w:tcPr>
            <w:tcW w:w="501"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1%</w:t>
            </w:r>
          </w:p>
        </w:tc>
      </w:tr>
      <w:tr w:rsidR="00967DD9" w:rsidRPr="00AF5056" w:rsidTr="00967DD9">
        <w:trPr>
          <w:trHeight w:val="212"/>
        </w:trPr>
        <w:tc>
          <w:tcPr>
            <w:tcW w:w="2029"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Over £250,000 – £325,000</w:t>
            </w:r>
          </w:p>
        </w:tc>
        <w:tc>
          <w:tcPr>
            <w:tcW w:w="507"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5%</w:t>
            </w:r>
          </w:p>
        </w:tc>
        <w:tc>
          <w:tcPr>
            <w:tcW w:w="1963"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 xml:space="preserve">Above £250,000         </w:t>
            </w:r>
          </w:p>
        </w:tc>
        <w:tc>
          <w:tcPr>
            <w:tcW w:w="501"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5%</w:t>
            </w:r>
          </w:p>
        </w:tc>
      </w:tr>
      <w:tr w:rsidR="00967DD9" w:rsidRPr="00AF5056" w:rsidTr="00967DD9">
        <w:trPr>
          <w:trHeight w:val="212"/>
        </w:trPr>
        <w:tc>
          <w:tcPr>
            <w:tcW w:w="2029"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Over £325,000 – £750,000</w:t>
            </w:r>
          </w:p>
        </w:tc>
        <w:tc>
          <w:tcPr>
            <w:tcW w:w="507"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10%</w:t>
            </w:r>
          </w:p>
        </w:tc>
        <w:tc>
          <w:tcPr>
            <w:tcW w:w="1963" w:type="pct"/>
            <w:shd w:val="solid" w:color="FFFFFF" w:fill="auto"/>
            <w:tcMar>
              <w:top w:w="0" w:type="dxa"/>
              <w:left w:w="85" w:type="dxa"/>
              <w:bottom w:w="0" w:type="dxa"/>
              <w:right w:w="85" w:type="dxa"/>
            </w:tcMar>
            <w:vAlign w:val="center"/>
          </w:tcPr>
          <w:p w:rsidR="00967DD9" w:rsidRPr="00AF5056" w:rsidRDefault="00967DD9" w:rsidP="00671917">
            <w:pPr>
              <w:pStyle w:val="NoParagraphStyle"/>
              <w:spacing w:line="240" w:lineRule="auto"/>
              <w:textAlignment w:val="auto"/>
              <w:rPr>
                <w:rFonts w:asciiTheme="majorHAnsi" w:hAnsiTheme="majorHAnsi" w:cstheme="majorHAnsi"/>
                <w:color w:val="auto"/>
                <w:sz w:val="24"/>
                <w:szCs w:val="24"/>
              </w:rPr>
            </w:pPr>
          </w:p>
        </w:tc>
        <w:tc>
          <w:tcPr>
            <w:tcW w:w="501" w:type="pct"/>
            <w:shd w:val="solid" w:color="FFFFFF" w:fill="auto"/>
            <w:tcMar>
              <w:top w:w="0" w:type="dxa"/>
              <w:left w:w="85" w:type="dxa"/>
              <w:bottom w:w="0" w:type="dxa"/>
              <w:right w:w="85" w:type="dxa"/>
            </w:tcMar>
            <w:vAlign w:val="center"/>
          </w:tcPr>
          <w:p w:rsidR="00967DD9" w:rsidRPr="00AF5056" w:rsidRDefault="00967DD9" w:rsidP="00671917">
            <w:pPr>
              <w:pStyle w:val="NoParagraphStyle"/>
              <w:spacing w:line="240" w:lineRule="auto"/>
              <w:textAlignment w:val="auto"/>
              <w:rPr>
                <w:rFonts w:asciiTheme="majorHAnsi" w:hAnsiTheme="majorHAnsi" w:cstheme="majorHAnsi"/>
                <w:color w:val="auto"/>
                <w:sz w:val="24"/>
                <w:szCs w:val="24"/>
              </w:rPr>
            </w:pPr>
          </w:p>
        </w:tc>
      </w:tr>
      <w:tr w:rsidR="00967DD9" w:rsidRPr="00AF5056" w:rsidTr="00967DD9">
        <w:trPr>
          <w:trHeight w:val="212"/>
        </w:trPr>
        <w:tc>
          <w:tcPr>
            <w:tcW w:w="2029"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szCs w:val="24"/>
              </w:rPr>
            </w:pPr>
            <w:r w:rsidRPr="00AF5056">
              <w:rPr>
                <w:rFonts w:asciiTheme="majorHAnsi" w:hAnsiTheme="majorHAnsi" w:cstheme="majorHAnsi"/>
                <w:sz w:val="24"/>
                <w:szCs w:val="24"/>
              </w:rPr>
              <w:t>Above £750,000</w:t>
            </w:r>
          </w:p>
        </w:tc>
        <w:tc>
          <w:tcPr>
            <w:tcW w:w="507" w:type="pct"/>
            <w:shd w:val="solid" w:color="FFFFFF" w:fill="auto"/>
            <w:tcMar>
              <w:top w:w="0" w:type="dxa"/>
              <w:left w:w="85" w:type="dxa"/>
              <w:bottom w:w="0" w:type="dxa"/>
              <w:right w:w="85" w:type="dxa"/>
            </w:tcMar>
            <w:vAlign w:val="center"/>
          </w:tcPr>
          <w:p w:rsidR="00967DD9" w:rsidRPr="00AF5056" w:rsidRDefault="00967DD9" w:rsidP="00671917">
            <w:pPr>
              <w:pStyle w:val="TaxBody"/>
              <w:jc w:val="center"/>
              <w:rPr>
                <w:rFonts w:asciiTheme="majorHAnsi" w:hAnsiTheme="majorHAnsi" w:cstheme="majorHAnsi"/>
                <w:sz w:val="24"/>
                <w:szCs w:val="24"/>
              </w:rPr>
            </w:pPr>
            <w:r w:rsidRPr="00AF5056">
              <w:rPr>
                <w:rFonts w:asciiTheme="majorHAnsi" w:hAnsiTheme="majorHAnsi" w:cstheme="majorHAnsi"/>
                <w:sz w:val="24"/>
                <w:szCs w:val="24"/>
              </w:rPr>
              <w:t>12%</w:t>
            </w:r>
          </w:p>
        </w:tc>
        <w:tc>
          <w:tcPr>
            <w:tcW w:w="1963" w:type="pct"/>
            <w:shd w:val="solid" w:color="FFFFFF" w:fill="auto"/>
            <w:tcMar>
              <w:top w:w="0" w:type="dxa"/>
              <w:left w:w="85" w:type="dxa"/>
              <w:bottom w:w="0" w:type="dxa"/>
              <w:right w:w="85" w:type="dxa"/>
            </w:tcMar>
            <w:vAlign w:val="center"/>
          </w:tcPr>
          <w:p w:rsidR="00967DD9" w:rsidRPr="00AF5056" w:rsidRDefault="00967DD9" w:rsidP="00671917">
            <w:pPr>
              <w:pStyle w:val="NoParagraphStyle"/>
              <w:spacing w:line="240" w:lineRule="auto"/>
              <w:textAlignment w:val="auto"/>
              <w:rPr>
                <w:rFonts w:asciiTheme="majorHAnsi" w:hAnsiTheme="majorHAnsi" w:cstheme="majorHAnsi"/>
                <w:color w:val="auto"/>
                <w:sz w:val="24"/>
                <w:szCs w:val="24"/>
              </w:rPr>
            </w:pPr>
          </w:p>
        </w:tc>
        <w:tc>
          <w:tcPr>
            <w:tcW w:w="501" w:type="pct"/>
            <w:shd w:val="solid" w:color="FFFFFF" w:fill="auto"/>
            <w:tcMar>
              <w:top w:w="0" w:type="dxa"/>
              <w:left w:w="85" w:type="dxa"/>
              <w:bottom w:w="0" w:type="dxa"/>
              <w:right w:w="85" w:type="dxa"/>
            </w:tcMar>
            <w:vAlign w:val="center"/>
          </w:tcPr>
          <w:p w:rsidR="00967DD9" w:rsidRPr="00AF5056" w:rsidRDefault="00967DD9" w:rsidP="00671917">
            <w:pPr>
              <w:pStyle w:val="NoParagraphStyle"/>
              <w:spacing w:line="240" w:lineRule="auto"/>
              <w:textAlignment w:val="auto"/>
              <w:rPr>
                <w:rFonts w:asciiTheme="majorHAnsi" w:hAnsiTheme="majorHAnsi" w:cstheme="majorHAnsi"/>
                <w:color w:val="auto"/>
                <w:sz w:val="24"/>
                <w:szCs w:val="24"/>
              </w:rPr>
            </w:pPr>
          </w:p>
        </w:tc>
      </w:tr>
    </w:tbl>
    <w:p w:rsidR="00967DD9" w:rsidRPr="00AF5056" w:rsidRDefault="00967DD9" w:rsidP="00967DD9">
      <w:pPr>
        <w:pStyle w:val="Extrathings"/>
        <w:rPr>
          <w:rFonts w:asciiTheme="majorHAnsi" w:hAnsiTheme="majorHAnsi" w:cstheme="majorHAnsi"/>
          <w:sz w:val="16"/>
        </w:rPr>
      </w:pPr>
      <w:r w:rsidRPr="00AF5056">
        <w:rPr>
          <w:rFonts w:asciiTheme="majorHAnsi" w:hAnsiTheme="majorHAnsi" w:cstheme="majorHAnsi"/>
          <w:sz w:val="16"/>
        </w:rPr>
        <w:t>* First-time buyers pay nothing on the first £175,000.</w:t>
      </w:r>
    </w:p>
    <w:p w:rsidR="00967DD9" w:rsidRPr="00C54564" w:rsidRDefault="00967DD9" w:rsidP="00967DD9">
      <w:pPr>
        <w:pStyle w:val="Heading2"/>
      </w:pPr>
      <w:r w:rsidRPr="00C54564">
        <w:t>Wales: Land transaction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1"/>
        <w:gridCol w:w="1173"/>
        <w:gridCol w:w="4113"/>
        <w:gridCol w:w="1039"/>
      </w:tblGrid>
      <w:tr w:rsidR="00967DD9" w:rsidRPr="00C54564" w:rsidTr="00967DD9">
        <w:trPr>
          <w:trHeight w:val="362"/>
        </w:trPr>
        <w:tc>
          <w:tcPr>
            <w:tcW w:w="2536" w:type="pct"/>
            <w:gridSpan w:val="2"/>
            <w:shd w:val="clear" w:color="auto" w:fill="D9D9D9" w:themeFill="background1" w:themeFillShade="D9"/>
            <w:tcMar>
              <w:top w:w="80" w:type="dxa"/>
              <w:left w:w="80" w:type="dxa"/>
              <w:bottom w:w="80" w:type="dxa"/>
              <w:right w:w="80" w:type="dxa"/>
            </w:tcMar>
          </w:tcPr>
          <w:p w:rsidR="00967DD9" w:rsidRPr="00AF5056" w:rsidRDefault="00EA7F39" w:rsidP="00671917">
            <w:pPr>
              <w:pStyle w:val="TaxBody"/>
              <w:rPr>
                <w:rFonts w:asciiTheme="majorHAnsi" w:hAnsiTheme="majorHAnsi" w:cstheme="majorHAnsi"/>
                <w:sz w:val="24"/>
              </w:rPr>
            </w:pPr>
            <w:r>
              <w:rPr>
                <w:rFonts w:asciiTheme="majorHAnsi" w:hAnsiTheme="majorHAnsi" w:cstheme="majorHAnsi"/>
                <w:b/>
                <w:bCs/>
                <w:sz w:val="24"/>
              </w:rPr>
              <w:t xml:space="preserve">On the transfer of </w:t>
            </w:r>
            <w:r w:rsidR="00967DD9" w:rsidRPr="00AF5056">
              <w:rPr>
                <w:rFonts w:asciiTheme="majorHAnsi" w:hAnsiTheme="majorHAnsi" w:cstheme="majorHAnsi"/>
                <w:b/>
                <w:bCs/>
                <w:sz w:val="24"/>
              </w:rPr>
              <w:t xml:space="preserve">residential property                    </w:t>
            </w:r>
          </w:p>
        </w:tc>
        <w:tc>
          <w:tcPr>
            <w:tcW w:w="2464" w:type="pct"/>
            <w:gridSpan w:val="2"/>
            <w:shd w:val="clear" w:color="auto" w:fill="D9D9D9" w:themeFill="background1" w:themeFillShade="D9"/>
            <w:tcMar>
              <w:top w:w="80" w:type="dxa"/>
              <w:left w:w="80" w:type="dxa"/>
              <w:bottom w:w="80" w:type="dxa"/>
              <w:right w:w="80" w:type="dxa"/>
            </w:tcMar>
          </w:tcPr>
          <w:p w:rsidR="00967DD9" w:rsidRPr="00AF5056" w:rsidRDefault="00EA7F39" w:rsidP="00671917">
            <w:pPr>
              <w:pStyle w:val="TaxBody"/>
              <w:rPr>
                <w:rFonts w:asciiTheme="majorHAnsi" w:hAnsiTheme="majorHAnsi" w:cstheme="majorHAnsi"/>
                <w:sz w:val="24"/>
              </w:rPr>
            </w:pPr>
            <w:r>
              <w:rPr>
                <w:rFonts w:asciiTheme="majorHAnsi" w:hAnsiTheme="majorHAnsi" w:cstheme="majorHAnsi"/>
                <w:b/>
                <w:bCs/>
                <w:sz w:val="24"/>
              </w:rPr>
              <w:t xml:space="preserve">On the transfer of </w:t>
            </w:r>
            <w:r w:rsidR="00967DD9" w:rsidRPr="00AF5056">
              <w:rPr>
                <w:rFonts w:asciiTheme="majorHAnsi" w:hAnsiTheme="majorHAnsi" w:cstheme="majorHAnsi"/>
                <w:b/>
                <w:bCs/>
                <w:sz w:val="24"/>
              </w:rPr>
              <w:t>non-residential property</w:t>
            </w:r>
          </w:p>
        </w:tc>
      </w:tr>
      <w:tr w:rsidR="00967DD9" w:rsidRPr="00C54564" w:rsidTr="00967DD9">
        <w:trPr>
          <w:trHeight w:val="168"/>
        </w:trPr>
        <w:tc>
          <w:tcPr>
            <w:tcW w:w="1975"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£0 – £180,000</w:t>
            </w:r>
          </w:p>
        </w:tc>
        <w:tc>
          <w:tcPr>
            <w:tcW w:w="561"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0%</w:t>
            </w:r>
          </w:p>
        </w:tc>
        <w:tc>
          <w:tcPr>
            <w:tcW w:w="1967"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£0 – £150,000</w:t>
            </w:r>
          </w:p>
        </w:tc>
        <w:tc>
          <w:tcPr>
            <w:tcW w:w="497" w:type="pct"/>
            <w:shd w:val="solid" w:color="FFFFFF" w:fill="auto"/>
            <w:tcMar>
              <w:top w:w="0" w:type="dxa"/>
              <w:left w:w="85" w:type="dxa"/>
              <w:bottom w:w="0" w:type="dxa"/>
              <w:right w:w="85" w:type="dxa"/>
            </w:tcMar>
            <w:vAlign w:val="center"/>
          </w:tcPr>
          <w:p w:rsidR="00967DD9" w:rsidRPr="00967DD9" w:rsidRDefault="00967DD9" w:rsidP="00671917">
            <w:pPr>
              <w:pStyle w:val="TaxBody"/>
              <w:rPr>
                <w:rFonts w:asciiTheme="majorHAnsi" w:hAnsiTheme="majorHAnsi" w:cstheme="majorHAnsi"/>
                <w:sz w:val="24"/>
              </w:rPr>
            </w:pPr>
            <w:r w:rsidRPr="00967DD9">
              <w:rPr>
                <w:rFonts w:asciiTheme="majorHAnsi" w:hAnsiTheme="majorHAnsi" w:cstheme="majorHAnsi"/>
                <w:sz w:val="24"/>
              </w:rPr>
              <w:t>0%</w:t>
            </w:r>
          </w:p>
        </w:tc>
      </w:tr>
      <w:tr w:rsidR="00967DD9" w:rsidRPr="00C54564" w:rsidTr="00967DD9">
        <w:trPr>
          <w:trHeight w:val="164"/>
        </w:trPr>
        <w:tc>
          <w:tcPr>
            <w:tcW w:w="1975"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Over £180,000 – £250,000</w:t>
            </w:r>
          </w:p>
        </w:tc>
        <w:tc>
          <w:tcPr>
            <w:tcW w:w="561"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3.5%</w:t>
            </w:r>
          </w:p>
        </w:tc>
        <w:tc>
          <w:tcPr>
            <w:tcW w:w="1967"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 xml:space="preserve">Over £150,000 – £250,000    </w:t>
            </w:r>
          </w:p>
        </w:tc>
        <w:tc>
          <w:tcPr>
            <w:tcW w:w="497" w:type="pct"/>
            <w:shd w:val="solid" w:color="FFFFFF" w:fill="auto"/>
            <w:tcMar>
              <w:top w:w="0" w:type="dxa"/>
              <w:left w:w="85" w:type="dxa"/>
              <w:bottom w:w="0" w:type="dxa"/>
              <w:right w:w="85" w:type="dxa"/>
            </w:tcMar>
            <w:vAlign w:val="center"/>
          </w:tcPr>
          <w:p w:rsidR="00967DD9" w:rsidRPr="00967DD9" w:rsidRDefault="00967DD9" w:rsidP="00671917">
            <w:pPr>
              <w:pStyle w:val="TaxBody"/>
              <w:rPr>
                <w:rFonts w:asciiTheme="majorHAnsi" w:hAnsiTheme="majorHAnsi" w:cstheme="majorHAnsi"/>
                <w:sz w:val="24"/>
              </w:rPr>
            </w:pPr>
            <w:r w:rsidRPr="00967DD9">
              <w:rPr>
                <w:rFonts w:asciiTheme="majorHAnsi" w:hAnsiTheme="majorHAnsi" w:cstheme="majorHAnsi"/>
                <w:sz w:val="24"/>
              </w:rPr>
              <w:t>1%</w:t>
            </w:r>
          </w:p>
        </w:tc>
      </w:tr>
      <w:tr w:rsidR="00967DD9" w:rsidRPr="00C54564" w:rsidTr="00967DD9">
        <w:trPr>
          <w:trHeight w:val="172"/>
        </w:trPr>
        <w:tc>
          <w:tcPr>
            <w:tcW w:w="1975"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Over £250,000 – £400,000</w:t>
            </w:r>
          </w:p>
        </w:tc>
        <w:tc>
          <w:tcPr>
            <w:tcW w:w="561"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5%</w:t>
            </w:r>
          </w:p>
        </w:tc>
        <w:tc>
          <w:tcPr>
            <w:tcW w:w="1967"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 xml:space="preserve">Over £250,000 – £1m         </w:t>
            </w:r>
          </w:p>
        </w:tc>
        <w:tc>
          <w:tcPr>
            <w:tcW w:w="497" w:type="pct"/>
            <w:shd w:val="solid" w:color="FFFFFF" w:fill="auto"/>
            <w:tcMar>
              <w:top w:w="0" w:type="dxa"/>
              <w:left w:w="85" w:type="dxa"/>
              <w:bottom w:w="0" w:type="dxa"/>
              <w:right w:w="85" w:type="dxa"/>
            </w:tcMar>
            <w:vAlign w:val="center"/>
          </w:tcPr>
          <w:p w:rsidR="00967DD9" w:rsidRPr="00967DD9" w:rsidRDefault="00967DD9" w:rsidP="00671917">
            <w:pPr>
              <w:pStyle w:val="TaxBody"/>
              <w:rPr>
                <w:rFonts w:asciiTheme="majorHAnsi" w:hAnsiTheme="majorHAnsi" w:cstheme="majorHAnsi"/>
                <w:sz w:val="24"/>
              </w:rPr>
            </w:pPr>
            <w:r w:rsidRPr="00967DD9">
              <w:rPr>
                <w:rFonts w:asciiTheme="majorHAnsi" w:hAnsiTheme="majorHAnsi" w:cstheme="majorHAnsi"/>
                <w:sz w:val="24"/>
              </w:rPr>
              <w:t>5%</w:t>
            </w:r>
          </w:p>
        </w:tc>
      </w:tr>
      <w:tr w:rsidR="00967DD9" w:rsidRPr="00C54564" w:rsidTr="00967DD9">
        <w:trPr>
          <w:trHeight w:val="153"/>
        </w:trPr>
        <w:tc>
          <w:tcPr>
            <w:tcW w:w="1975"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Over £400,000 – £750,000</w:t>
            </w:r>
          </w:p>
        </w:tc>
        <w:tc>
          <w:tcPr>
            <w:tcW w:w="561"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7.5%</w:t>
            </w:r>
          </w:p>
        </w:tc>
        <w:tc>
          <w:tcPr>
            <w:tcW w:w="1967"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Above £1m</w:t>
            </w:r>
          </w:p>
        </w:tc>
        <w:tc>
          <w:tcPr>
            <w:tcW w:w="497" w:type="pct"/>
            <w:shd w:val="solid" w:color="FFFFFF" w:fill="auto"/>
            <w:tcMar>
              <w:top w:w="0" w:type="dxa"/>
              <w:left w:w="85" w:type="dxa"/>
              <w:bottom w:w="0" w:type="dxa"/>
              <w:right w:w="85" w:type="dxa"/>
            </w:tcMar>
            <w:vAlign w:val="center"/>
          </w:tcPr>
          <w:p w:rsidR="00967DD9" w:rsidRPr="00967DD9" w:rsidRDefault="00967DD9" w:rsidP="00671917">
            <w:pPr>
              <w:pStyle w:val="TaxBody"/>
              <w:rPr>
                <w:rFonts w:asciiTheme="majorHAnsi" w:hAnsiTheme="majorHAnsi" w:cstheme="majorHAnsi"/>
                <w:sz w:val="24"/>
              </w:rPr>
            </w:pPr>
            <w:r w:rsidRPr="00967DD9">
              <w:rPr>
                <w:rFonts w:asciiTheme="majorHAnsi" w:hAnsiTheme="majorHAnsi" w:cstheme="majorHAnsi"/>
                <w:sz w:val="24"/>
              </w:rPr>
              <w:t>6%</w:t>
            </w:r>
          </w:p>
        </w:tc>
      </w:tr>
      <w:tr w:rsidR="00967DD9" w:rsidRPr="00C54564" w:rsidTr="00967DD9">
        <w:trPr>
          <w:trHeight w:val="167"/>
        </w:trPr>
        <w:tc>
          <w:tcPr>
            <w:tcW w:w="1975"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Over £750,000 – £1.5m</w:t>
            </w:r>
          </w:p>
        </w:tc>
        <w:tc>
          <w:tcPr>
            <w:tcW w:w="561"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10%</w:t>
            </w:r>
          </w:p>
        </w:tc>
        <w:tc>
          <w:tcPr>
            <w:tcW w:w="1967" w:type="pct"/>
            <w:shd w:val="solid" w:color="FFFFFF" w:fill="auto"/>
            <w:tcMar>
              <w:top w:w="0" w:type="dxa"/>
              <w:left w:w="85" w:type="dxa"/>
              <w:bottom w:w="0" w:type="dxa"/>
              <w:right w:w="85" w:type="dxa"/>
            </w:tcMar>
            <w:vAlign w:val="center"/>
          </w:tcPr>
          <w:p w:rsidR="00967DD9" w:rsidRPr="00AF5056" w:rsidRDefault="00967DD9" w:rsidP="00671917">
            <w:pPr>
              <w:pStyle w:val="NoParagraphStyle"/>
              <w:spacing w:line="240" w:lineRule="auto"/>
              <w:textAlignment w:val="auto"/>
              <w:rPr>
                <w:rFonts w:asciiTheme="majorHAnsi" w:hAnsiTheme="majorHAnsi" w:cstheme="majorHAnsi"/>
                <w:color w:val="auto"/>
                <w:sz w:val="24"/>
              </w:rPr>
            </w:pPr>
          </w:p>
        </w:tc>
        <w:tc>
          <w:tcPr>
            <w:tcW w:w="497" w:type="pct"/>
            <w:shd w:val="solid" w:color="FFFFFF" w:fill="auto"/>
            <w:tcMar>
              <w:top w:w="0" w:type="dxa"/>
              <w:left w:w="85" w:type="dxa"/>
              <w:bottom w:w="0" w:type="dxa"/>
              <w:right w:w="85" w:type="dxa"/>
            </w:tcMar>
            <w:vAlign w:val="center"/>
          </w:tcPr>
          <w:p w:rsidR="00967DD9" w:rsidRPr="00C54564" w:rsidRDefault="00967DD9" w:rsidP="00671917">
            <w:pPr>
              <w:pStyle w:val="NoParagraphStyle"/>
              <w:spacing w:line="240" w:lineRule="auto"/>
              <w:textAlignment w:val="auto"/>
              <w:rPr>
                <w:rFonts w:asciiTheme="majorHAnsi" w:hAnsiTheme="majorHAnsi" w:cstheme="majorHAnsi"/>
                <w:color w:val="auto"/>
              </w:rPr>
            </w:pPr>
          </w:p>
        </w:tc>
      </w:tr>
      <w:tr w:rsidR="00967DD9" w:rsidRPr="00C54564" w:rsidTr="00967DD9">
        <w:trPr>
          <w:trHeight w:val="167"/>
        </w:trPr>
        <w:tc>
          <w:tcPr>
            <w:tcW w:w="1975"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Above  £1.5m</w:t>
            </w:r>
          </w:p>
        </w:tc>
        <w:tc>
          <w:tcPr>
            <w:tcW w:w="561" w:type="pct"/>
            <w:shd w:val="solid" w:color="FFFFFF" w:fill="auto"/>
            <w:tcMar>
              <w:top w:w="0" w:type="dxa"/>
              <w:left w:w="85" w:type="dxa"/>
              <w:bottom w:w="0" w:type="dxa"/>
              <w:right w:w="85" w:type="dxa"/>
            </w:tcMar>
            <w:vAlign w:val="center"/>
          </w:tcPr>
          <w:p w:rsidR="00967DD9" w:rsidRPr="00AF5056" w:rsidRDefault="00967DD9" w:rsidP="00671917">
            <w:pPr>
              <w:pStyle w:val="TaxBody"/>
              <w:rPr>
                <w:rFonts w:asciiTheme="majorHAnsi" w:hAnsiTheme="majorHAnsi" w:cstheme="majorHAnsi"/>
                <w:sz w:val="24"/>
              </w:rPr>
            </w:pPr>
            <w:r w:rsidRPr="00AF5056">
              <w:rPr>
                <w:rFonts w:asciiTheme="majorHAnsi" w:hAnsiTheme="majorHAnsi" w:cstheme="majorHAnsi"/>
                <w:sz w:val="24"/>
              </w:rPr>
              <w:t>12%</w:t>
            </w:r>
          </w:p>
        </w:tc>
        <w:tc>
          <w:tcPr>
            <w:tcW w:w="1967" w:type="pct"/>
            <w:shd w:val="solid" w:color="FFFFFF" w:fill="auto"/>
            <w:tcMar>
              <w:top w:w="0" w:type="dxa"/>
              <w:left w:w="85" w:type="dxa"/>
              <w:bottom w:w="0" w:type="dxa"/>
              <w:right w:w="85" w:type="dxa"/>
            </w:tcMar>
            <w:vAlign w:val="center"/>
          </w:tcPr>
          <w:p w:rsidR="00967DD9" w:rsidRPr="00AF5056" w:rsidRDefault="00967DD9" w:rsidP="00671917">
            <w:pPr>
              <w:pStyle w:val="NoParagraphStyle"/>
              <w:spacing w:line="240" w:lineRule="auto"/>
              <w:textAlignment w:val="auto"/>
              <w:rPr>
                <w:rFonts w:asciiTheme="majorHAnsi" w:hAnsiTheme="majorHAnsi" w:cstheme="majorHAnsi"/>
                <w:color w:val="auto"/>
                <w:sz w:val="24"/>
              </w:rPr>
            </w:pPr>
          </w:p>
        </w:tc>
        <w:tc>
          <w:tcPr>
            <w:tcW w:w="497" w:type="pct"/>
            <w:shd w:val="solid" w:color="FFFFFF" w:fill="auto"/>
            <w:tcMar>
              <w:top w:w="0" w:type="dxa"/>
              <w:left w:w="85" w:type="dxa"/>
              <w:bottom w:w="0" w:type="dxa"/>
              <w:right w:w="85" w:type="dxa"/>
            </w:tcMar>
            <w:vAlign w:val="center"/>
          </w:tcPr>
          <w:p w:rsidR="00967DD9" w:rsidRPr="00C54564" w:rsidRDefault="00967DD9" w:rsidP="00671917">
            <w:pPr>
              <w:pStyle w:val="NoParagraphStyle"/>
              <w:spacing w:line="240" w:lineRule="auto"/>
              <w:textAlignment w:val="auto"/>
              <w:rPr>
                <w:rFonts w:asciiTheme="majorHAnsi" w:hAnsiTheme="majorHAnsi" w:cstheme="majorHAnsi"/>
                <w:color w:val="auto"/>
              </w:rPr>
            </w:pPr>
          </w:p>
        </w:tc>
      </w:tr>
    </w:tbl>
    <w:p w:rsidR="00C54564" w:rsidRPr="00C54564" w:rsidRDefault="00967DD9" w:rsidP="00967DD9">
      <w:pPr>
        <w:pStyle w:val="Heading1"/>
        <w:rPr>
          <w:caps/>
          <w:sz w:val="14"/>
          <w:szCs w:val="14"/>
        </w:rPr>
      </w:pPr>
      <w:r>
        <w:t>National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75"/>
        <w:gridCol w:w="2353"/>
        <w:gridCol w:w="2894"/>
        <w:gridCol w:w="2334"/>
      </w:tblGrid>
      <w:tr w:rsidR="00C54564" w:rsidRPr="00C54564" w:rsidTr="00967DD9">
        <w:trPr>
          <w:trHeight w:val="20"/>
        </w:trPr>
        <w:tc>
          <w:tcPr>
            <w:tcW w:w="5000" w:type="pct"/>
            <w:gridSpan w:val="4"/>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Class 1</w:t>
            </w:r>
          </w:p>
        </w:tc>
      </w:tr>
      <w:tr w:rsidR="00C54564" w:rsidRPr="00C54564" w:rsidTr="00967DD9">
        <w:trPr>
          <w:trHeight w:val="20"/>
        </w:trPr>
        <w:tc>
          <w:tcPr>
            <w:tcW w:w="1375" w:type="pct"/>
            <w:shd w:val="clear" w:color="auto" w:fill="D9D9D9" w:themeFill="background1" w:themeFillShade="D9"/>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b/>
                <w:bCs/>
                <w:sz w:val="24"/>
                <w:szCs w:val="24"/>
              </w:rPr>
              <w:t>Weekly earnings</w:t>
            </w:r>
          </w:p>
        </w:tc>
        <w:tc>
          <w:tcPr>
            <w:tcW w:w="1125" w:type="pct"/>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b/>
                <w:bCs/>
                <w:sz w:val="24"/>
                <w:szCs w:val="24"/>
              </w:rPr>
              <w:t>Employee rate</w:t>
            </w:r>
          </w:p>
        </w:tc>
        <w:tc>
          <w:tcPr>
            <w:tcW w:w="1384" w:type="pct"/>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b/>
                <w:bCs/>
                <w:sz w:val="24"/>
                <w:szCs w:val="24"/>
              </w:rPr>
              <w:t>Weekly earnings</w:t>
            </w:r>
          </w:p>
        </w:tc>
        <w:tc>
          <w:tcPr>
            <w:tcW w:w="1116" w:type="pct"/>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b/>
                <w:bCs/>
                <w:sz w:val="24"/>
                <w:szCs w:val="24"/>
              </w:rPr>
              <w:t>Employer rate</w:t>
            </w:r>
          </w:p>
        </w:tc>
      </w:tr>
      <w:tr w:rsidR="00C54564" w:rsidRPr="00C54564" w:rsidTr="00967DD9">
        <w:trPr>
          <w:trHeight w:val="20"/>
        </w:trPr>
        <w:tc>
          <w:tcPr>
            <w:tcW w:w="1375" w:type="pct"/>
            <w:shd w:val="solid" w:color="FFFFFF" w:fill="auto"/>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Up to £183</w:t>
            </w:r>
          </w:p>
        </w:tc>
        <w:tc>
          <w:tcPr>
            <w:tcW w:w="1125"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Nil*</w:t>
            </w:r>
          </w:p>
        </w:tc>
        <w:tc>
          <w:tcPr>
            <w:tcW w:w="1384" w:type="pct"/>
            <w:shd w:val="solid" w:color="FFFFFF" w:fill="auto"/>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Up to £169</w:t>
            </w:r>
          </w:p>
        </w:tc>
        <w:tc>
          <w:tcPr>
            <w:tcW w:w="1116"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Nil</w:t>
            </w:r>
          </w:p>
        </w:tc>
      </w:tr>
      <w:tr w:rsidR="00C54564" w:rsidRPr="00C54564" w:rsidTr="00967DD9">
        <w:trPr>
          <w:trHeight w:val="20"/>
        </w:trPr>
        <w:tc>
          <w:tcPr>
            <w:tcW w:w="1375" w:type="pct"/>
            <w:shd w:val="solid" w:color="FFFFFF" w:fill="auto"/>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 xml:space="preserve">Over £183 – £962       </w:t>
            </w:r>
          </w:p>
        </w:tc>
        <w:tc>
          <w:tcPr>
            <w:tcW w:w="1125"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12%</w:t>
            </w:r>
          </w:p>
        </w:tc>
        <w:tc>
          <w:tcPr>
            <w:tcW w:w="1384" w:type="pct"/>
            <w:shd w:val="solid" w:color="FFFFFF" w:fill="auto"/>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 xml:space="preserve">Over £169 – £962       </w:t>
            </w:r>
          </w:p>
        </w:tc>
        <w:tc>
          <w:tcPr>
            <w:tcW w:w="1116"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13.8%**</w:t>
            </w:r>
          </w:p>
        </w:tc>
      </w:tr>
      <w:tr w:rsidR="00C54564" w:rsidRPr="00C54564" w:rsidTr="00967DD9">
        <w:trPr>
          <w:trHeight w:val="20"/>
        </w:trPr>
        <w:tc>
          <w:tcPr>
            <w:tcW w:w="1375" w:type="pct"/>
            <w:shd w:val="solid" w:color="FFFFFF" w:fill="auto"/>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 xml:space="preserve">Over £962                                </w:t>
            </w:r>
          </w:p>
        </w:tc>
        <w:tc>
          <w:tcPr>
            <w:tcW w:w="1125"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2%</w:t>
            </w:r>
          </w:p>
        </w:tc>
        <w:tc>
          <w:tcPr>
            <w:tcW w:w="1384" w:type="pct"/>
            <w:shd w:val="solid" w:color="FFFFFF" w:fill="auto"/>
            <w:tcMar>
              <w:top w:w="0" w:type="dxa"/>
              <w:left w:w="57" w:type="dxa"/>
              <w:bottom w:w="0" w:type="dxa"/>
              <w:right w:w="57"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 xml:space="preserve">Over £962                                </w:t>
            </w:r>
          </w:p>
        </w:tc>
        <w:tc>
          <w:tcPr>
            <w:tcW w:w="1116"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13.8%</w:t>
            </w:r>
          </w:p>
        </w:tc>
      </w:tr>
      <w:tr w:rsidR="00C54564" w:rsidRPr="00C54564" w:rsidTr="00967DD9">
        <w:trPr>
          <w:trHeight w:val="20"/>
        </w:trPr>
        <w:tc>
          <w:tcPr>
            <w:tcW w:w="1375" w:type="pct"/>
            <w:shd w:val="solid" w:color="FFFFFF" w:fill="auto"/>
            <w:tcMar>
              <w:top w:w="0" w:type="dxa"/>
              <w:left w:w="57" w:type="dxa"/>
              <w:bottom w:w="0" w:type="dxa"/>
              <w:right w:w="57" w:type="dxa"/>
            </w:tcMar>
            <w:vAlign w:val="center"/>
          </w:tcPr>
          <w:p w:rsidR="00C54564" w:rsidRPr="00C54564" w:rsidRDefault="00EA7F39">
            <w:pPr>
              <w:pStyle w:val="TaxBody"/>
              <w:rPr>
                <w:rFonts w:asciiTheme="majorHAnsi" w:hAnsiTheme="majorHAnsi" w:cstheme="majorHAnsi"/>
                <w:sz w:val="24"/>
                <w:szCs w:val="24"/>
              </w:rPr>
            </w:pPr>
            <w:r>
              <w:rPr>
                <w:rFonts w:asciiTheme="majorHAnsi" w:hAnsiTheme="majorHAnsi" w:cstheme="majorHAnsi"/>
                <w:sz w:val="24"/>
                <w:szCs w:val="24"/>
              </w:rPr>
              <w:t xml:space="preserve">Over state </w:t>
            </w:r>
            <w:r w:rsidR="00C54564" w:rsidRPr="00C54564">
              <w:rPr>
                <w:rFonts w:asciiTheme="majorHAnsi" w:hAnsiTheme="majorHAnsi" w:cstheme="majorHAnsi"/>
                <w:sz w:val="24"/>
                <w:szCs w:val="24"/>
              </w:rPr>
              <w:t xml:space="preserve">pension age        </w:t>
            </w:r>
          </w:p>
        </w:tc>
        <w:tc>
          <w:tcPr>
            <w:tcW w:w="1125"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0%</w:t>
            </w:r>
          </w:p>
        </w:tc>
        <w:tc>
          <w:tcPr>
            <w:tcW w:w="1384" w:type="pct"/>
            <w:shd w:val="solid" w:color="FFFFFF" w:fill="auto"/>
            <w:tcMar>
              <w:top w:w="0" w:type="dxa"/>
              <w:left w:w="57" w:type="dxa"/>
              <w:bottom w:w="0" w:type="dxa"/>
              <w:right w:w="57" w:type="dxa"/>
            </w:tcMar>
            <w:vAlign w:val="center"/>
          </w:tcPr>
          <w:p w:rsidR="00C54564" w:rsidRPr="00C54564" w:rsidRDefault="00EA7F39" w:rsidP="00EA7F39">
            <w:pPr>
              <w:pStyle w:val="TaxBody"/>
              <w:rPr>
                <w:rFonts w:asciiTheme="majorHAnsi" w:hAnsiTheme="majorHAnsi" w:cstheme="majorHAnsi"/>
                <w:sz w:val="24"/>
                <w:szCs w:val="24"/>
              </w:rPr>
            </w:pPr>
            <w:r>
              <w:rPr>
                <w:rFonts w:asciiTheme="majorHAnsi" w:hAnsiTheme="majorHAnsi" w:cstheme="majorHAnsi"/>
                <w:sz w:val="24"/>
                <w:szCs w:val="24"/>
              </w:rPr>
              <w:t xml:space="preserve">Over state </w:t>
            </w:r>
            <w:r w:rsidR="00C54564" w:rsidRPr="00C54564">
              <w:rPr>
                <w:rFonts w:asciiTheme="majorHAnsi" w:hAnsiTheme="majorHAnsi" w:cstheme="majorHAnsi"/>
                <w:sz w:val="24"/>
                <w:szCs w:val="24"/>
              </w:rPr>
              <w:t>pension age</w:t>
            </w:r>
          </w:p>
        </w:tc>
        <w:tc>
          <w:tcPr>
            <w:tcW w:w="1116"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13.8%</w:t>
            </w:r>
          </w:p>
        </w:tc>
      </w:tr>
    </w:tbl>
    <w:p w:rsidR="00C54564" w:rsidRDefault="00C54564" w:rsidP="00C54564">
      <w:pPr>
        <w:pStyle w:val="Extrathings"/>
        <w:rPr>
          <w:rFonts w:asciiTheme="majorHAnsi" w:hAnsiTheme="majorHAnsi" w:cstheme="majorHAnsi"/>
          <w:spacing w:val="-2"/>
          <w:sz w:val="14"/>
        </w:rPr>
      </w:pPr>
      <w:r w:rsidRPr="00C54564">
        <w:rPr>
          <w:rFonts w:asciiTheme="majorHAnsi" w:hAnsiTheme="majorHAnsi" w:cstheme="majorHAnsi"/>
          <w:sz w:val="14"/>
        </w:rPr>
        <w:t>* Entitlement to contribution-based benefits are retained for earnings between £120 and £183 a week.</w:t>
      </w:r>
      <w:r w:rsidRPr="00C54564">
        <w:rPr>
          <w:rFonts w:asciiTheme="majorHAnsi" w:hAnsiTheme="majorHAnsi" w:cstheme="majorHAnsi"/>
          <w:sz w:val="14"/>
        </w:rPr>
        <w:br/>
      </w:r>
      <w:r w:rsidRPr="00C54564">
        <w:rPr>
          <w:rFonts w:asciiTheme="majorHAnsi" w:hAnsiTheme="majorHAnsi" w:cstheme="majorHAnsi"/>
          <w:spacing w:val="-2"/>
          <w:sz w:val="14"/>
        </w:rPr>
        <w:t>** 0% for staff under 21 and apprentices under 25 on earnings up to £962 a week.</w:t>
      </w:r>
    </w:p>
    <w:p w:rsidR="00C54564" w:rsidRDefault="00C54564" w:rsidP="00C54564">
      <w:pPr>
        <w:pStyle w:val="Extrathings"/>
        <w:rPr>
          <w:rFonts w:asciiTheme="majorHAnsi" w:hAnsiTheme="majorHAnsi" w:cstheme="majorHAnsi"/>
          <w:spacing w:val="-2"/>
          <w:sz w:val="14"/>
        </w:rPr>
      </w:pPr>
    </w:p>
    <w:p w:rsidR="00C54564" w:rsidRPr="00C54564" w:rsidRDefault="00C54564" w:rsidP="00C54564">
      <w:pPr>
        <w:pStyle w:val="Extrathings"/>
        <w:rPr>
          <w:rStyle w:val="Nemo"/>
          <w:rFonts w:asciiTheme="majorHAnsi" w:hAnsiTheme="majorHAnsi" w:cstheme="majorHAns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15"/>
        <w:gridCol w:w="3041"/>
      </w:tblGrid>
      <w:tr w:rsidR="00C54564" w:rsidRPr="00C54564" w:rsidTr="00DA7C33">
        <w:trPr>
          <w:trHeight w:val="20"/>
        </w:trPr>
        <w:tc>
          <w:tcPr>
            <w:tcW w:w="5000" w:type="pct"/>
            <w:gridSpan w:val="2"/>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Class 1A</w:t>
            </w:r>
          </w:p>
        </w:tc>
      </w:tr>
      <w:tr w:rsidR="00C54564" w:rsidRPr="00C54564" w:rsidTr="00DA7C33">
        <w:trPr>
          <w:trHeight w:val="20"/>
        </w:trPr>
        <w:tc>
          <w:tcPr>
            <w:tcW w:w="3546"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On relevant benefits, including car and fuel benefits</w:t>
            </w:r>
          </w:p>
        </w:tc>
        <w:tc>
          <w:tcPr>
            <w:tcW w:w="1454"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13.8%</w:t>
            </w:r>
          </w:p>
        </w:tc>
      </w:tr>
    </w:tbl>
    <w:p w:rsidR="00C54564" w:rsidRPr="00C54564" w:rsidRDefault="00C54564" w:rsidP="00C54564">
      <w:pPr>
        <w:pStyle w:val="ParagraphHeading"/>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30"/>
        <w:gridCol w:w="3026"/>
      </w:tblGrid>
      <w:tr w:rsidR="00C54564" w:rsidRPr="00C54564" w:rsidTr="00DA7C33">
        <w:trPr>
          <w:trHeight w:val="20"/>
        </w:trPr>
        <w:tc>
          <w:tcPr>
            <w:tcW w:w="5000" w:type="pct"/>
            <w:gridSpan w:val="2"/>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Class 2</w:t>
            </w:r>
          </w:p>
        </w:tc>
      </w:tr>
      <w:tr w:rsidR="00C54564" w:rsidRPr="00C54564" w:rsidTr="00DA7C33">
        <w:trPr>
          <w:trHeight w:val="20"/>
        </w:trPr>
        <w:tc>
          <w:tcPr>
            <w:tcW w:w="3553"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Self-employed above small profits threshold</w:t>
            </w:r>
          </w:p>
        </w:tc>
        <w:tc>
          <w:tcPr>
            <w:tcW w:w="1447"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£3.05 a week</w:t>
            </w:r>
          </w:p>
        </w:tc>
      </w:tr>
      <w:tr w:rsidR="00C54564" w:rsidRPr="00C54564" w:rsidTr="00DA7C33">
        <w:trPr>
          <w:trHeight w:val="20"/>
        </w:trPr>
        <w:tc>
          <w:tcPr>
            <w:tcW w:w="3553"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Small profits threshold</w:t>
            </w:r>
          </w:p>
        </w:tc>
        <w:tc>
          <w:tcPr>
            <w:tcW w:w="1447"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£6,475 a year</w:t>
            </w:r>
          </w:p>
        </w:tc>
      </w:tr>
    </w:tbl>
    <w:p w:rsidR="00C54564" w:rsidRPr="00C54564" w:rsidRDefault="00C54564" w:rsidP="00C54564">
      <w:pPr>
        <w:pStyle w:val="TaxBody"/>
        <w:rPr>
          <w:rFonts w:asciiTheme="majorHAnsi" w:hAnsiTheme="majorHAnsi"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30"/>
        <w:gridCol w:w="3026"/>
      </w:tblGrid>
      <w:tr w:rsidR="00C54564" w:rsidRPr="00C54564" w:rsidTr="00DA7C33">
        <w:trPr>
          <w:trHeight w:val="20"/>
        </w:trPr>
        <w:tc>
          <w:tcPr>
            <w:tcW w:w="5000" w:type="pct"/>
            <w:gridSpan w:val="2"/>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Class 3</w:t>
            </w:r>
          </w:p>
        </w:tc>
      </w:tr>
      <w:tr w:rsidR="00C54564" w:rsidRPr="00C54564" w:rsidTr="00DA7C33">
        <w:trPr>
          <w:trHeight w:val="20"/>
        </w:trPr>
        <w:tc>
          <w:tcPr>
            <w:tcW w:w="3553"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Voluntary</w:t>
            </w:r>
          </w:p>
        </w:tc>
        <w:tc>
          <w:tcPr>
            <w:tcW w:w="1447"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£15.30 a week</w:t>
            </w:r>
          </w:p>
        </w:tc>
      </w:tr>
    </w:tbl>
    <w:p w:rsidR="00C54564" w:rsidRPr="00C54564" w:rsidRDefault="00C54564" w:rsidP="00C54564">
      <w:pPr>
        <w:pStyle w:val="ParagraphHeading"/>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30"/>
        <w:gridCol w:w="3026"/>
      </w:tblGrid>
      <w:tr w:rsidR="00C54564" w:rsidRPr="00C54564" w:rsidTr="00DA7C33">
        <w:trPr>
          <w:trHeight w:val="20"/>
        </w:trPr>
        <w:tc>
          <w:tcPr>
            <w:tcW w:w="5000" w:type="pct"/>
            <w:gridSpan w:val="2"/>
            <w:shd w:val="clear" w:color="auto" w:fill="D9D9D9" w:themeFill="background1" w:themeFillShade="D9"/>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b/>
                <w:bCs/>
                <w:sz w:val="24"/>
                <w:szCs w:val="24"/>
              </w:rPr>
              <w:t xml:space="preserve">Class 4* </w:t>
            </w:r>
          </w:p>
        </w:tc>
      </w:tr>
      <w:tr w:rsidR="00C54564" w:rsidRPr="00C54564" w:rsidTr="00DA7C33">
        <w:trPr>
          <w:trHeight w:val="20"/>
        </w:trPr>
        <w:tc>
          <w:tcPr>
            <w:tcW w:w="3553"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Self-employed on profits above £9,500 – £50,000</w:t>
            </w:r>
          </w:p>
        </w:tc>
        <w:tc>
          <w:tcPr>
            <w:tcW w:w="1447"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9%</w:t>
            </w:r>
          </w:p>
        </w:tc>
      </w:tr>
      <w:tr w:rsidR="00C54564" w:rsidRPr="00C54564" w:rsidTr="00DA7C33">
        <w:trPr>
          <w:trHeight w:val="20"/>
        </w:trPr>
        <w:tc>
          <w:tcPr>
            <w:tcW w:w="3553"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z w:val="24"/>
                <w:szCs w:val="24"/>
              </w:rPr>
              <w:t>Over £50,000</w:t>
            </w:r>
          </w:p>
        </w:tc>
        <w:tc>
          <w:tcPr>
            <w:tcW w:w="1447"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2%</w:t>
            </w:r>
          </w:p>
        </w:tc>
      </w:tr>
    </w:tbl>
    <w:p w:rsidR="00C54564" w:rsidRPr="00C54564" w:rsidRDefault="00C54564" w:rsidP="00C54564">
      <w:pPr>
        <w:pStyle w:val="Extrathings"/>
        <w:rPr>
          <w:rFonts w:asciiTheme="majorHAnsi" w:hAnsiTheme="majorHAnsi" w:cstheme="majorHAnsi"/>
          <w:sz w:val="16"/>
        </w:rPr>
      </w:pPr>
      <w:r w:rsidRPr="00C54564">
        <w:rPr>
          <w:rFonts w:asciiTheme="majorHAnsi" w:hAnsiTheme="majorHAnsi" w:cstheme="majorHAnsi"/>
          <w:sz w:val="16"/>
        </w:rPr>
        <w:t>* Exemption applies if the state retirement age is reached by 6 April 2020.</w:t>
      </w:r>
    </w:p>
    <w:p w:rsidR="00C54564" w:rsidRDefault="00C54564" w:rsidP="00C54564">
      <w:pPr>
        <w:pStyle w:val="Extrathings"/>
        <w:rPr>
          <w:rFonts w:asciiTheme="majorHAnsi" w:hAnsiTheme="majorHAnsi" w:cstheme="majorHAnsi"/>
        </w:rPr>
      </w:pPr>
    </w:p>
    <w:p w:rsidR="00C54564" w:rsidRPr="00C54564" w:rsidRDefault="00C54564" w:rsidP="00967DD9">
      <w:pPr>
        <w:pStyle w:val="Heading2"/>
      </w:pPr>
      <w:r w:rsidRPr="00C54564">
        <w:lastRenderedPageBreak/>
        <w:t>Employment allowance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30"/>
        <w:gridCol w:w="3026"/>
      </w:tblGrid>
      <w:tr w:rsidR="00C54564" w:rsidRPr="00C54564" w:rsidTr="00DA7C33">
        <w:trPr>
          <w:trHeight w:hRule="exact" w:val="338"/>
        </w:trPr>
        <w:tc>
          <w:tcPr>
            <w:tcW w:w="3553" w:type="pct"/>
            <w:shd w:val="solid" w:color="FFFFFF" w:fill="auto"/>
            <w:tcMar>
              <w:top w:w="0" w:type="dxa"/>
              <w:left w:w="85" w:type="dxa"/>
              <w:bottom w:w="0" w:type="dxa"/>
              <w:right w:w="85" w:type="dxa"/>
            </w:tcMar>
            <w:vAlign w:val="center"/>
          </w:tcPr>
          <w:p w:rsidR="00C54564" w:rsidRPr="00C54564" w:rsidRDefault="00C54564">
            <w:pPr>
              <w:pStyle w:val="TaxBody"/>
              <w:rPr>
                <w:rFonts w:asciiTheme="majorHAnsi" w:hAnsiTheme="majorHAnsi" w:cstheme="majorHAnsi"/>
                <w:sz w:val="24"/>
                <w:szCs w:val="24"/>
              </w:rPr>
            </w:pPr>
            <w:r w:rsidRPr="00C54564">
              <w:rPr>
                <w:rFonts w:asciiTheme="majorHAnsi" w:hAnsiTheme="majorHAnsi" w:cstheme="majorHAnsi"/>
                <w:spacing w:val="-3"/>
                <w:sz w:val="24"/>
                <w:szCs w:val="24"/>
              </w:rPr>
              <w:t>Per employer, per year (excludes one-person companies)*</w:t>
            </w:r>
          </w:p>
        </w:tc>
        <w:tc>
          <w:tcPr>
            <w:tcW w:w="1447" w:type="pct"/>
            <w:shd w:val="solid" w:color="FFFFFF" w:fill="auto"/>
            <w:tcMar>
              <w:top w:w="0" w:type="dxa"/>
              <w:left w:w="85" w:type="dxa"/>
              <w:bottom w:w="0" w:type="dxa"/>
              <w:right w:w="85" w:type="dxa"/>
            </w:tcMar>
            <w:vAlign w:val="center"/>
          </w:tcPr>
          <w:p w:rsidR="00C54564" w:rsidRPr="00C54564" w:rsidRDefault="00C54564">
            <w:pPr>
              <w:pStyle w:val="TaxBody"/>
              <w:jc w:val="center"/>
              <w:rPr>
                <w:rFonts w:asciiTheme="majorHAnsi" w:hAnsiTheme="majorHAnsi" w:cstheme="majorHAnsi"/>
                <w:sz w:val="24"/>
                <w:szCs w:val="24"/>
              </w:rPr>
            </w:pPr>
            <w:r w:rsidRPr="00C54564">
              <w:rPr>
                <w:rFonts w:asciiTheme="majorHAnsi" w:hAnsiTheme="majorHAnsi" w:cstheme="majorHAnsi"/>
                <w:sz w:val="24"/>
                <w:szCs w:val="24"/>
              </w:rPr>
              <w:t>£4,000</w:t>
            </w:r>
          </w:p>
        </w:tc>
      </w:tr>
    </w:tbl>
    <w:p w:rsidR="00C54564" w:rsidRPr="00C54564" w:rsidRDefault="00C54564" w:rsidP="00C54564">
      <w:pPr>
        <w:pStyle w:val="Extrathings"/>
        <w:rPr>
          <w:rFonts w:asciiTheme="majorHAnsi" w:hAnsiTheme="majorHAnsi" w:cstheme="majorHAnsi"/>
          <w:sz w:val="16"/>
        </w:rPr>
      </w:pPr>
      <w:r w:rsidRPr="00C54564">
        <w:rPr>
          <w:rFonts w:asciiTheme="majorHAnsi" w:hAnsiTheme="majorHAnsi" w:cstheme="majorHAnsi"/>
          <w:sz w:val="16"/>
        </w:rPr>
        <w:t>* One claim only for companies in a group or under common control. Not available where the director is the only employee paid earnings above the secondary threshold for class 1 NICs. From April 2020, this will be limited to employers with an employer NICs bill below £100,000 in the previous tax year.</w:t>
      </w:r>
    </w:p>
    <w:p w:rsidR="00C54564" w:rsidRPr="00967DD9" w:rsidRDefault="00C54564" w:rsidP="00967DD9">
      <w:pPr>
        <w:pStyle w:val="Heading2"/>
      </w:pPr>
      <w:r w:rsidRPr="00C54564">
        <w:t>Apprenticeship levy</w:t>
      </w:r>
    </w:p>
    <w:p w:rsidR="00C54564" w:rsidRPr="00967DD9" w:rsidRDefault="00C54564" w:rsidP="00C54564">
      <w:pPr>
        <w:pStyle w:val="TaxBody"/>
        <w:rPr>
          <w:rFonts w:asciiTheme="majorHAnsi" w:hAnsiTheme="majorHAnsi" w:cstheme="majorHAnsi"/>
          <w:sz w:val="20"/>
        </w:rPr>
      </w:pPr>
      <w:r w:rsidRPr="00967DD9">
        <w:rPr>
          <w:rStyle w:val="Nemo"/>
          <w:rFonts w:asciiTheme="majorHAnsi" w:hAnsiTheme="majorHAnsi" w:cstheme="majorHAnsi"/>
          <w:spacing w:val="-2"/>
          <w:sz w:val="22"/>
        </w:rPr>
        <w:t>A levy of 0.5% applies where the pay bill exceeds £3m. There is an allowance of £15,000. Further conditions apply, so please consult with us</w:t>
      </w:r>
      <w:r w:rsidRPr="00967DD9">
        <w:rPr>
          <w:rStyle w:val="Nemo"/>
          <w:rFonts w:asciiTheme="majorHAnsi" w:hAnsiTheme="majorHAnsi" w:cstheme="majorHAnsi"/>
          <w:sz w:val="22"/>
        </w:rPr>
        <w:t>.</w:t>
      </w:r>
    </w:p>
    <w:p w:rsidR="00C54564" w:rsidRPr="00C54564" w:rsidRDefault="00C54564" w:rsidP="00C54564">
      <w:pPr>
        <w:pStyle w:val="ParagraphHeading"/>
        <w:rPr>
          <w:rFonts w:asciiTheme="majorHAnsi" w:hAnsiTheme="majorHAnsi" w:cstheme="majorHAnsi"/>
          <w:color w:val="0A2B2D"/>
          <w:sz w:val="10"/>
          <w:szCs w:val="10"/>
        </w:rPr>
      </w:pPr>
      <w:r w:rsidRPr="00C54564">
        <w:rPr>
          <w:rFonts w:asciiTheme="majorHAnsi" w:hAnsiTheme="majorHAnsi" w:cstheme="majorHAnsi"/>
          <w:color w:val="0A2B2D"/>
          <w:sz w:val="10"/>
          <w:szCs w:val="10"/>
        </w:rPr>
        <w:br/>
      </w:r>
    </w:p>
    <w:p w:rsidR="00967DD9" w:rsidRPr="00C54564" w:rsidRDefault="00967DD9" w:rsidP="00967DD9">
      <w:pPr>
        <w:pStyle w:val="Heading2"/>
      </w:pPr>
      <w:r w:rsidRPr="00C54564">
        <w:t>I</w:t>
      </w:r>
      <w:r>
        <w:t>mportant notice</w:t>
      </w:r>
    </w:p>
    <w:p w:rsidR="00967DD9" w:rsidRPr="00EA7F39" w:rsidRDefault="00967DD9" w:rsidP="00EA7F39">
      <w:pPr>
        <w:rPr>
          <w:rFonts w:asciiTheme="majorHAnsi" w:hAnsiTheme="majorHAnsi" w:cstheme="majorHAnsi"/>
        </w:rPr>
      </w:pPr>
      <w:r w:rsidRPr="00EA7F39">
        <w:rPr>
          <w:rFonts w:asciiTheme="majorHAnsi" w:hAnsiTheme="majorHAnsi" w:cstheme="majorHAnsi"/>
        </w:rPr>
        <w:t xml:space="preserve">These rates and allowances are based on Spring Budget 2020 announcements made by the UK and Northern Ireland, Scottish and Welsh Governments and are for information only. </w:t>
      </w:r>
    </w:p>
    <w:p w:rsidR="00967DD9" w:rsidRPr="00EA7F39" w:rsidRDefault="00967DD9" w:rsidP="00EA7F39">
      <w:pPr>
        <w:rPr>
          <w:rFonts w:asciiTheme="majorHAnsi" w:hAnsiTheme="majorHAnsi" w:cstheme="majorHAnsi"/>
        </w:rPr>
      </w:pPr>
      <w:r w:rsidRPr="00EA7F39">
        <w:rPr>
          <w:rFonts w:asciiTheme="majorHAnsi" w:hAnsiTheme="majorHAnsi" w:cstheme="majorHAnsi"/>
        </w:rPr>
        <w:t>All information is subject to change before 6 April 2020 and confirmation by the respective governments. The above must not be considered advice and no warranty is given for the accuracy or completeness of the details. Professional advice should be sought before making any decisions.</w:t>
      </w:r>
    </w:p>
    <w:p w:rsidR="00280E70" w:rsidRPr="00EA7F39" w:rsidRDefault="00967DD9" w:rsidP="00EA7F39">
      <w:pPr>
        <w:rPr>
          <w:rFonts w:asciiTheme="majorHAnsi" w:hAnsiTheme="majorHAnsi" w:cstheme="majorHAnsi"/>
        </w:rPr>
      </w:pPr>
      <w:r w:rsidRPr="00EA7F39">
        <w:rPr>
          <w:rFonts w:asciiTheme="majorHAnsi" w:hAnsiTheme="majorHAnsi" w:cstheme="majorHAnsi"/>
        </w:rPr>
        <w:t>Rates apply to the UK and Northern Ireland unless stated otherwise.</w:t>
      </w:r>
    </w:p>
    <w:sectPr w:rsidR="00280E70" w:rsidRPr="00EA7F39" w:rsidSect="007218A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Roboto Medium">
    <w:panose1 w:val="00000000000000000000"/>
    <w:charset w:val="00"/>
    <w:family w:val="auto"/>
    <w:notTrueType/>
    <w:pitch w:val="default"/>
    <w:sig w:usb0="00000003" w:usb1="00000000" w:usb2="00000000" w:usb3="00000000" w:csb0="00000001" w:csb1="00000000"/>
  </w:font>
  <w:font w:name="Zapf Dingbats 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8A5"/>
    <w:multiLevelType w:val="hybridMultilevel"/>
    <w:tmpl w:val="641E2A82"/>
    <w:lvl w:ilvl="0" w:tplc="610A457E">
      <w:numFmt w:val="bullet"/>
      <w:lvlText w:val="–"/>
      <w:lvlJc w:val="left"/>
      <w:pPr>
        <w:ind w:left="560" w:hanging="360"/>
      </w:pPr>
      <w:rPr>
        <w:rFonts w:ascii="Calibri" w:eastAsiaTheme="minorEastAsia" w:hAnsi="Calibri" w:cs="Calibri"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425451E4"/>
    <w:multiLevelType w:val="hybridMultilevel"/>
    <w:tmpl w:val="DDB4DB62"/>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F6A9D"/>
    <w:multiLevelType w:val="hybridMultilevel"/>
    <w:tmpl w:val="B770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64"/>
    <w:rsid w:val="00280E70"/>
    <w:rsid w:val="003711ED"/>
    <w:rsid w:val="00967DD9"/>
    <w:rsid w:val="00AF5056"/>
    <w:rsid w:val="00B335F5"/>
    <w:rsid w:val="00B62D36"/>
    <w:rsid w:val="00C54564"/>
    <w:rsid w:val="00DA7C33"/>
    <w:rsid w:val="00E152AB"/>
    <w:rsid w:val="00E24326"/>
    <w:rsid w:val="00EA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DA1C4-53AB-4074-BED4-ECA3D32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64"/>
  </w:style>
  <w:style w:type="paragraph" w:styleId="Heading1">
    <w:name w:val="heading 1"/>
    <w:basedOn w:val="Normal"/>
    <w:next w:val="Normal"/>
    <w:link w:val="Heading1Char"/>
    <w:uiPriority w:val="9"/>
    <w:qFormat/>
    <w:rsid w:val="00C54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45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45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5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45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45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45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5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564"/>
    <w:rPr>
      <w:rFonts w:asciiTheme="majorHAnsi" w:eastAsiaTheme="majorEastAsia" w:hAnsiTheme="majorHAnsi" w:cstheme="majorBidi"/>
      <w:color w:val="17365D" w:themeColor="text2" w:themeShade="BF"/>
      <w:spacing w:val="5"/>
      <w:kern w:val="28"/>
      <w:sz w:val="52"/>
      <w:szCs w:val="52"/>
    </w:rPr>
  </w:style>
  <w:style w:type="paragraph" w:customStyle="1" w:styleId="NoParagraphStyle">
    <w:name w:val="[No Paragraph Style]"/>
    <w:rsid w:val="00C54564"/>
    <w:pPr>
      <w:autoSpaceDE w:val="0"/>
      <w:autoSpaceDN w:val="0"/>
      <w:adjustRightInd w:val="0"/>
      <w:spacing w:after="0" w:line="288" w:lineRule="auto"/>
      <w:textAlignment w:val="center"/>
    </w:pPr>
    <w:rPr>
      <w:rFonts w:ascii="Times Regular" w:hAnsi="Times Regular" w:cs="Times Regular"/>
      <w:color w:val="000000"/>
    </w:rPr>
  </w:style>
  <w:style w:type="paragraph" w:customStyle="1" w:styleId="BigHeading">
    <w:name w:val="Big Heading"/>
    <w:basedOn w:val="NoParagraphStyle"/>
    <w:uiPriority w:val="99"/>
    <w:rsid w:val="00C54564"/>
    <w:pPr>
      <w:suppressAutoHyphens/>
      <w:spacing w:line="760" w:lineRule="atLeast"/>
    </w:pPr>
    <w:rPr>
      <w:rFonts w:ascii="Roboto" w:hAnsi="Roboto" w:cs="Roboto"/>
      <w:b/>
      <w:bCs/>
      <w:caps/>
      <w:sz w:val="18"/>
      <w:szCs w:val="18"/>
    </w:rPr>
  </w:style>
  <w:style w:type="paragraph" w:customStyle="1" w:styleId="ParagraphHeading">
    <w:name w:val="Paragraph Heading"/>
    <w:basedOn w:val="NoParagraphStyle"/>
    <w:uiPriority w:val="99"/>
    <w:rsid w:val="00C54564"/>
    <w:pPr>
      <w:suppressAutoHyphens/>
      <w:spacing w:line="180" w:lineRule="atLeast"/>
    </w:pPr>
    <w:rPr>
      <w:rFonts w:ascii="Roboto Medium" w:hAnsi="Roboto Medium" w:cs="Roboto Medium"/>
      <w:sz w:val="14"/>
      <w:szCs w:val="14"/>
    </w:rPr>
  </w:style>
  <w:style w:type="paragraph" w:customStyle="1" w:styleId="Extrathings">
    <w:name w:val="Extra things"/>
    <w:basedOn w:val="NoParagraphStyle"/>
    <w:uiPriority w:val="99"/>
    <w:rsid w:val="00C54564"/>
    <w:pPr>
      <w:suppressAutoHyphens/>
      <w:spacing w:line="120" w:lineRule="atLeast"/>
    </w:pPr>
    <w:rPr>
      <w:rFonts w:ascii="Roboto" w:hAnsi="Roboto" w:cs="Roboto"/>
      <w:color w:val="0A2B2D"/>
      <w:sz w:val="10"/>
      <w:szCs w:val="10"/>
    </w:rPr>
  </w:style>
  <w:style w:type="paragraph" w:customStyle="1" w:styleId="TaxBody">
    <w:name w:val="Tax Body"/>
    <w:basedOn w:val="NoParagraphStyle"/>
    <w:uiPriority w:val="99"/>
    <w:rsid w:val="00C54564"/>
    <w:pPr>
      <w:suppressAutoHyphens/>
      <w:spacing w:after="57" w:line="120" w:lineRule="atLeast"/>
    </w:pPr>
    <w:rPr>
      <w:rFonts w:ascii="Roboto" w:hAnsi="Roboto" w:cs="Roboto"/>
      <w:sz w:val="11"/>
      <w:szCs w:val="11"/>
    </w:rPr>
  </w:style>
  <w:style w:type="character" w:customStyle="1" w:styleId="Nemo">
    <w:name w:val="Nemo"/>
    <w:uiPriority w:val="99"/>
    <w:rsid w:val="00C54564"/>
    <w:rPr>
      <w:rFonts w:ascii="Zapf Dingbats Regular" w:hAnsi="Zapf Dingbats Regular" w:cs="Zapf Dingbats Regular"/>
      <w:sz w:val="12"/>
      <w:szCs w:val="12"/>
    </w:rPr>
  </w:style>
  <w:style w:type="character" w:customStyle="1" w:styleId="Heading1Char">
    <w:name w:val="Heading 1 Char"/>
    <w:basedOn w:val="DefaultParagraphFont"/>
    <w:link w:val="Heading1"/>
    <w:uiPriority w:val="9"/>
    <w:rsid w:val="00C54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5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45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45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45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45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5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545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456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545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5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4564"/>
    <w:rPr>
      <w:b/>
      <w:bCs/>
    </w:rPr>
  </w:style>
  <w:style w:type="character" w:styleId="Emphasis">
    <w:name w:val="Emphasis"/>
    <w:basedOn w:val="DefaultParagraphFont"/>
    <w:uiPriority w:val="20"/>
    <w:qFormat/>
    <w:rsid w:val="00C54564"/>
    <w:rPr>
      <w:i/>
      <w:iCs/>
    </w:rPr>
  </w:style>
  <w:style w:type="paragraph" w:styleId="NoSpacing">
    <w:name w:val="No Spacing"/>
    <w:uiPriority w:val="1"/>
    <w:qFormat/>
    <w:rsid w:val="00C54564"/>
    <w:pPr>
      <w:spacing w:after="0" w:line="240" w:lineRule="auto"/>
    </w:pPr>
  </w:style>
  <w:style w:type="paragraph" w:styleId="ListParagraph">
    <w:name w:val="List Paragraph"/>
    <w:basedOn w:val="Normal"/>
    <w:uiPriority w:val="34"/>
    <w:qFormat/>
    <w:rsid w:val="00C54564"/>
    <w:pPr>
      <w:ind w:left="720"/>
      <w:contextualSpacing/>
    </w:pPr>
  </w:style>
  <w:style w:type="paragraph" w:styleId="Quote">
    <w:name w:val="Quote"/>
    <w:basedOn w:val="Normal"/>
    <w:next w:val="Normal"/>
    <w:link w:val="QuoteChar"/>
    <w:uiPriority w:val="29"/>
    <w:qFormat/>
    <w:rsid w:val="00C54564"/>
    <w:rPr>
      <w:i/>
      <w:iCs/>
      <w:color w:val="000000" w:themeColor="text1"/>
    </w:rPr>
  </w:style>
  <w:style w:type="character" w:customStyle="1" w:styleId="QuoteChar">
    <w:name w:val="Quote Char"/>
    <w:basedOn w:val="DefaultParagraphFont"/>
    <w:link w:val="Quote"/>
    <w:uiPriority w:val="29"/>
    <w:rsid w:val="00C54564"/>
    <w:rPr>
      <w:i/>
      <w:iCs/>
      <w:color w:val="000000" w:themeColor="text1"/>
    </w:rPr>
  </w:style>
  <w:style w:type="paragraph" w:styleId="IntenseQuote">
    <w:name w:val="Intense Quote"/>
    <w:basedOn w:val="Normal"/>
    <w:next w:val="Normal"/>
    <w:link w:val="IntenseQuoteChar"/>
    <w:uiPriority w:val="30"/>
    <w:qFormat/>
    <w:rsid w:val="00C545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4564"/>
    <w:rPr>
      <w:b/>
      <w:bCs/>
      <w:i/>
      <w:iCs/>
      <w:color w:val="4F81BD" w:themeColor="accent1"/>
    </w:rPr>
  </w:style>
  <w:style w:type="character" w:styleId="SubtleEmphasis">
    <w:name w:val="Subtle Emphasis"/>
    <w:basedOn w:val="DefaultParagraphFont"/>
    <w:uiPriority w:val="19"/>
    <w:qFormat/>
    <w:rsid w:val="00C54564"/>
    <w:rPr>
      <w:i/>
      <w:iCs/>
      <w:color w:val="808080" w:themeColor="text1" w:themeTint="7F"/>
    </w:rPr>
  </w:style>
  <w:style w:type="character" w:styleId="IntenseEmphasis">
    <w:name w:val="Intense Emphasis"/>
    <w:basedOn w:val="DefaultParagraphFont"/>
    <w:uiPriority w:val="21"/>
    <w:qFormat/>
    <w:rsid w:val="00C54564"/>
    <w:rPr>
      <w:b/>
      <w:bCs/>
      <w:i/>
      <w:iCs/>
      <w:color w:val="4F81BD" w:themeColor="accent1"/>
    </w:rPr>
  </w:style>
  <w:style w:type="character" w:styleId="SubtleReference">
    <w:name w:val="Subtle Reference"/>
    <w:basedOn w:val="DefaultParagraphFont"/>
    <w:uiPriority w:val="31"/>
    <w:qFormat/>
    <w:rsid w:val="00C54564"/>
    <w:rPr>
      <w:smallCaps/>
      <w:color w:val="C0504D" w:themeColor="accent2"/>
      <w:u w:val="single"/>
    </w:rPr>
  </w:style>
  <w:style w:type="character" w:styleId="IntenseReference">
    <w:name w:val="Intense Reference"/>
    <w:basedOn w:val="DefaultParagraphFont"/>
    <w:uiPriority w:val="32"/>
    <w:qFormat/>
    <w:rsid w:val="00C54564"/>
    <w:rPr>
      <w:b/>
      <w:bCs/>
      <w:smallCaps/>
      <w:color w:val="C0504D" w:themeColor="accent2"/>
      <w:spacing w:val="5"/>
      <w:u w:val="single"/>
    </w:rPr>
  </w:style>
  <w:style w:type="character" w:styleId="BookTitle">
    <w:name w:val="Book Title"/>
    <w:basedOn w:val="DefaultParagraphFont"/>
    <w:uiPriority w:val="33"/>
    <w:qFormat/>
    <w:rsid w:val="00C54564"/>
    <w:rPr>
      <w:b/>
      <w:bCs/>
      <w:smallCaps/>
      <w:spacing w:val="5"/>
    </w:rPr>
  </w:style>
  <w:style w:type="paragraph" w:styleId="TOCHeading">
    <w:name w:val="TOC Heading"/>
    <w:basedOn w:val="Heading1"/>
    <w:next w:val="Normal"/>
    <w:uiPriority w:val="39"/>
    <w:semiHidden/>
    <w:unhideWhenUsed/>
    <w:qFormat/>
    <w:rsid w:val="00C545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1E1D-EFB1-4878-9516-64F31FD3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Sift Limited</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Tredinnick</dc:creator>
  <cp:lastModifiedBy>Susy Brooks</cp:lastModifiedBy>
  <cp:revision>2</cp:revision>
  <dcterms:created xsi:type="dcterms:W3CDTF">2020-04-20T11:07:00Z</dcterms:created>
  <dcterms:modified xsi:type="dcterms:W3CDTF">2020-04-20T11:07:00Z</dcterms:modified>
</cp:coreProperties>
</file>